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991" w:rsidRPr="009D0DFE" w:rsidRDefault="009D0DFE" w:rsidP="009D0DFE">
      <w:pPr>
        <w:spacing w:after="120"/>
        <w:jc w:val="center"/>
        <w:rPr>
          <w:rFonts w:cstheme="minorHAnsi"/>
          <w:b/>
          <w:sz w:val="24"/>
          <w:szCs w:val="24"/>
        </w:rPr>
      </w:pPr>
      <w:bookmarkStart w:id="0" w:name="_GoBack"/>
      <w:bookmarkEnd w:id="0"/>
      <w:r w:rsidRPr="009D0DFE">
        <w:rPr>
          <w:rFonts w:cstheme="minorHAnsi"/>
          <w:b/>
          <w:sz w:val="24"/>
          <w:szCs w:val="24"/>
        </w:rPr>
        <w:t xml:space="preserve">Příloha č. </w:t>
      </w:r>
      <w:r w:rsidR="001F08D9">
        <w:rPr>
          <w:rFonts w:cstheme="minorHAnsi"/>
          <w:b/>
          <w:sz w:val="24"/>
          <w:szCs w:val="24"/>
        </w:rPr>
        <w:t xml:space="preserve">3 </w:t>
      </w:r>
      <w:r w:rsidR="001D4991" w:rsidRPr="009D0DFE">
        <w:rPr>
          <w:rFonts w:cstheme="minorHAnsi"/>
          <w:b/>
          <w:sz w:val="24"/>
          <w:szCs w:val="24"/>
        </w:rPr>
        <w:t>Rozvoj měst s využitím inteligentních transportních systémů a autonomní mobility</w:t>
      </w:r>
    </w:p>
    <w:p w:rsidR="007210AC" w:rsidRPr="009D0DFE" w:rsidRDefault="009D0DFE" w:rsidP="009D0DFE">
      <w:pPr>
        <w:spacing w:after="120"/>
        <w:jc w:val="center"/>
        <w:rPr>
          <w:rFonts w:cstheme="minorHAnsi"/>
          <w:sz w:val="24"/>
          <w:szCs w:val="24"/>
        </w:rPr>
      </w:pPr>
      <w:r w:rsidRPr="009D0DFE">
        <w:rPr>
          <w:rFonts w:cstheme="minorHAnsi"/>
          <w:sz w:val="24"/>
          <w:szCs w:val="24"/>
        </w:rPr>
        <w:t>Ing. Petr Hlaváček, Ph.D., ICUK a FSE UJEP</w:t>
      </w:r>
    </w:p>
    <w:p w:rsidR="007210AC" w:rsidRPr="009D0DFE" w:rsidRDefault="007210AC" w:rsidP="009D0DFE">
      <w:pPr>
        <w:pStyle w:val="Odstavecseseznamem"/>
        <w:numPr>
          <w:ilvl w:val="0"/>
          <w:numId w:val="1"/>
        </w:numPr>
        <w:spacing w:after="120"/>
        <w:ind w:left="0" w:firstLine="0"/>
        <w:jc w:val="both"/>
        <w:rPr>
          <w:rFonts w:cstheme="minorHAnsi"/>
          <w:b/>
          <w:sz w:val="24"/>
          <w:szCs w:val="24"/>
        </w:rPr>
      </w:pPr>
      <w:r w:rsidRPr="009D0DFE">
        <w:rPr>
          <w:rFonts w:cstheme="minorHAnsi"/>
          <w:b/>
          <w:sz w:val="24"/>
          <w:szCs w:val="24"/>
        </w:rPr>
        <w:t>Rozvoj inteligentních transportních systémů</w:t>
      </w:r>
    </w:p>
    <w:p w:rsidR="001D4991" w:rsidRPr="009D0DFE" w:rsidRDefault="001D4991" w:rsidP="009D0DFE">
      <w:pPr>
        <w:spacing w:after="120"/>
        <w:jc w:val="both"/>
        <w:rPr>
          <w:rFonts w:cstheme="minorHAnsi"/>
          <w:sz w:val="24"/>
          <w:szCs w:val="24"/>
        </w:rPr>
      </w:pPr>
      <w:r w:rsidRPr="009D0DFE">
        <w:rPr>
          <w:rFonts w:cstheme="minorHAnsi"/>
          <w:sz w:val="24"/>
          <w:szCs w:val="24"/>
        </w:rPr>
        <w:t xml:space="preserve">Rostoucí zájem o rozvoj inteligentních měst vytváří příležitosti pro poskytovatele informačních a komunikačních technologií (IKT). To znamená, že inteligentní města vyžadují rychlé pokroky v oblasti informačních a komunikačních technologií, které odpovídají současným i budoucím výzvám. Všudypřítomné senzory, vysokorychlostní komunikace, integrace dat a nástroje pro analýzu dat budou klíčovými faktory pro růst měst. </w:t>
      </w:r>
    </w:p>
    <w:p w:rsidR="001D4991" w:rsidRPr="009D0DFE" w:rsidRDefault="001D4991" w:rsidP="009D0DFE">
      <w:pPr>
        <w:spacing w:after="120"/>
        <w:jc w:val="both"/>
        <w:rPr>
          <w:rFonts w:cstheme="minorHAnsi"/>
          <w:sz w:val="24"/>
          <w:szCs w:val="24"/>
        </w:rPr>
      </w:pPr>
      <w:r w:rsidRPr="009D0DFE">
        <w:rPr>
          <w:rFonts w:cstheme="minorHAnsi"/>
          <w:sz w:val="24"/>
          <w:szCs w:val="24"/>
        </w:rPr>
        <w:t xml:space="preserve">Analýza evropských rozvojových projektů měst </w:t>
      </w:r>
      <w:r w:rsidR="009D0DFE">
        <w:rPr>
          <w:rFonts w:cstheme="minorHAnsi"/>
          <w:sz w:val="24"/>
          <w:szCs w:val="24"/>
        </w:rPr>
        <w:t>(</w:t>
      </w:r>
      <w:proofErr w:type="spellStart"/>
      <w:r w:rsidR="009D0DFE">
        <w:rPr>
          <w:rFonts w:cstheme="minorHAnsi"/>
          <w:sz w:val="24"/>
          <w:szCs w:val="24"/>
        </w:rPr>
        <w:t>Dokic</w:t>
      </w:r>
      <w:proofErr w:type="spellEnd"/>
      <w:r w:rsidR="009D0DFE">
        <w:rPr>
          <w:rFonts w:cstheme="minorHAnsi"/>
          <w:sz w:val="24"/>
          <w:szCs w:val="24"/>
        </w:rPr>
        <w:t xml:space="preserve"> et al, 2015) </w:t>
      </w:r>
      <w:r w:rsidRPr="009D0DFE">
        <w:rPr>
          <w:rFonts w:cstheme="minorHAnsi"/>
          <w:sz w:val="24"/>
          <w:szCs w:val="24"/>
        </w:rPr>
        <w:t xml:space="preserve">ukazuje, že inteligentní doprava a inteligentní energie představují špičkové výzkumné priority z hlediska výdajů. Pozornost inteligentní městské mobilitě se věnuje z důvodu naléhavých dopravních problémů a rostoucího tlaku na městskou infrastrukturu. Stávající dopravní sítě vyžadují vylepšení, ale prostor je omezen pro rozšíření silniční a železniční infrastruktury. Rozvoj městské dopravy proto závisí na nalezení způsobů, jak lépe spravovat stávající dopravní prostředky, spíše než na rozšíření fyzických dopravních sítí. V současnosti se proto testují nové technologie a řešení s cílem dosáhnout lepší efektivity městské mobility. Lze říci, že globálně roste poptávka po řešeních, která se stanou jádrem inteligentní městské dopravy. </w:t>
      </w:r>
    </w:p>
    <w:p w:rsidR="001D4991" w:rsidRPr="009D0DFE" w:rsidRDefault="001D4991" w:rsidP="009D0DFE">
      <w:pPr>
        <w:spacing w:after="120"/>
        <w:jc w:val="both"/>
        <w:rPr>
          <w:rFonts w:cstheme="minorHAnsi"/>
          <w:sz w:val="24"/>
          <w:szCs w:val="24"/>
        </w:rPr>
      </w:pPr>
      <w:r w:rsidRPr="009D0DFE">
        <w:rPr>
          <w:rFonts w:cstheme="minorHAnsi"/>
          <w:sz w:val="24"/>
          <w:szCs w:val="24"/>
        </w:rPr>
        <w:t xml:space="preserve">V současné době je inteligentní dopravní systém založen na prioritě dopravních signálů pro vozidla pro nouzovou a hromadnou dopravu, vytváření dopravních map a informace cestovního ruchu téměř v reálném čase pro řidiče o očekávaných cestách. Často jsou využívána data z GPS senzorů v autobusech (méně často taxíky), v uzavřených okruzích (CCTV) a v některých případech v detektorech provozu. Prostřednictvím tohoto procesu jsou data odesílána do provozního střediska ITS prostřednictvím komunikačních sítí městských nebo okresních, zpracovávána a poté předkládána řidičům dynamické dopravní značky. Provozovatelé veřejné dopravy mají při nasazení ITS v úvahu 2 cíle. Prvním je efektivní správa vozového parku, směrování a dispečink. Druhým je zlepšení spokojenosti cestujících prostřednictvím informací (snadné plánování výletů, zobrazení informací o cestujících v reálném čase na autobusových zastávkách a ve vozidle) a na vyžádání služby. Aby získali výhodu nad konkurencí a snížili tendenci lidí řídit, mnoho dopravců spojilo své síly s vybudováním celoevropských nebo regionálních multimodálních integrovaných dopravních sítí. Za tímto účelem investují do moderních modulů sběru jízdenek a platforem pro vypořádání. Nejpopulárnější volbou pro inteligentní prodej vstupenek jsou bezkontaktní čipové karty, ale někteří operátoři používají další technologie, jako je například komunikace v blízkosti pole (NFC) nebo rádiová identifikace (RFID). NFC pro prodej jízdenek již bylo testováno v dopravních sítích ve Španělsku, Francii, Velké Británii a Německu. </w:t>
      </w:r>
    </w:p>
    <w:p w:rsidR="00B45AB4" w:rsidRPr="009D0DFE" w:rsidRDefault="001D4991" w:rsidP="009D0DFE">
      <w:pPr>
        <w:spacing w:after="120"/>
        <w:jc w:val="both"/>
        <w:rPr>
          <w:rFonts w:cstheme="minorHAnsi"/>
          <w:sz w:val="24"/>
          <w:szCs w:val="24"/>
        </w:rPr>
      </w:pPr>
      <w:r w:rsidRPr="009D0DFE">
        <w:rPr>
          <w:rFonts w:cstheme="minorHAnsi"/>
          <w:sz w:val="24"/>
          <w:szCs w:val="24"/>
        </w:rPr>
        <w:t xml:space="preserve">Cílem je vybudování skutečně inteligentních měst s inteligentní multimodální dopravou, řízeným dopravním tokem a zvýšenou bezpečností silničního provozu. ITS trh v Evropské unii </w:t>
      </w:r>
      <w:r w:rsidRPr="009D0DFE">
        <w:rPr>
          <w:rFonts w:cstheme="minorHAnsi"/>
          <w:sz w:val="24"/>
          <w:szCs w:val="24"/>
        </w:rPr>
        <w:lastRenderedPageBreak/>
        <w:t xml:space="preserve">je ve své fázi růstu a má atraktivní budoucí perspektivy. </w:t>
      </w:r>
      <w:r w:rsidR="009D0DFE">
        <w:rPr>
          <w:rFonts w:cstheme="minorHAnsi"/>
          <w:sz w:val="24"/>
          <w:szCs w:val="24"/>
        </w:rPr>
        <w:t>Dle studie se</w:t>
      </w:r>
      <w:r w:rsidRPr="009D0DFE">
        <w:rPr>
          <w:rFonts w:cstheme="minorHAnsi"/>
          <w:sz w:val="24"/>
          <w:szCs w:val="24"/>
        </w:rPr>
        <w:t xml:space="preserve"> očekává, že v příštím desetiletí budou tyto trendy ITS:</w:t>
      </w:r>
    </w:p>
    <w:p w:rsidR="007210AC" w:rsidRPr="009D0DFE" w:rsidRDefault="007210AC" w:rsidP="009D0DFE">
      <w:pPr>
        <w:spacing w:after="120"/>
        <w:jc w:val="both"/>
        <w:rPr>
          <w:rFonts w:cstheme="minorHAnsi"/>
          <w:sz w:val="24"/>
          <w:szCs w:val="24"/>
        </w:rPr>
      </w:pPr>
      <w:r w:rsidRPr="009D0DFE">
        <w:rPr>
          <w:rFonts w:cstheme="minorHAnsi"/>
          <w:sz w:val="24"/>
          <w:szCs w:val="24"/>
        </w:rPr>
        <w:t xml:space="preserve">1. </w:t>
      </w:r>
      <w:r w:rsidR="00B45AB4" w:rsidRPr="009D0DFE">
        <w:rPr>
          <w:rFonts w:cstheme="minorHAnsi"/>
          <w:sz w:val="24"/>
          <w:szCs w:val="24"/>
        </w:rPr>
        <w:t xml:space="preserve">Komunikace mezi vozidly a všemi (V2X): Připojené automobily budou stále častěji využívány ke shromažďování a šíření informací. Primárním využitím vozu V2X bude zlepšení bezpečnosti silničního provozu (výstrahy o stavu vozovky a pracovních zónách, varování před kolizí a vyhýbání se nárazům). Data z připojených vozidel budou také přenášet systémy řízení městské dopravy s cílem zlepšit informační služby a dopravní toky. V2X získala silnou podporu od významných výrobců originálního vybavení automobilového průmyslu (OEM) a tento závazek se odráží v různých projektech. Například terénní testy komunikace V2X probíhají v Německu konsorciem předních výrobců automobilů (Opel, Audi, BMW, </w:t>
      </w:r>
      <w:proofErr w:type="spellStart"/>
      <w:r w:rsidR="00B45AB4" w:rsidRPr="009D0DFE">
        <w:rPr>
          <w:rFonts w:cstheme="minorHAnsi"/>
          <w:sz w:val="24"/>
          <w:szCs w:val="24"/>
        </w:rPr>
        <w:t>Daimler</w:t>
      </w:r>
      <w:proofErr w:type="spellEnd"/>
      <w:r w:rsidR="00B45AB4" w:rsidRPr="009D0DFE">
        <w:rPr>
          <w:rFonts w:cstheme="minorHAnsi"/>
          <w:sz w:val="24"/>
          <w:szCs w:val="24"/>
        </w:rPr>
        <w:t xml:space="preserve"> a Ford), automobilových dodavatelů, telekomunikačních společností (telekomunikační společnosti) a úřadů v rámci projektu 53 milionů EUR známý jako bezpečná inteligentní </w:t>
      </w:r>
      <w:proofErr w:type="gramStart"/>
      <w:r w:rsidR="00B45AB4" w:rsidRPr="009D0DFE">
        <w:rPr>
          <w:rFonts w:cstheme="minorHAnsi"/>
          <w:sz w:val="24"/>
          <w:szCs w:val="24"/>
        </w:rPr>
        <w:t>mobilita - zkušební</w:t>
      </w:r>
      <w:proofErr w:type="gramEnd"/>
      <w:r w:rsidR="00B45AB4" w:rsidRPr="009D0DFE">
        <w:rPr>
          <w:rFonts w:cstheme="minorHAnsi"/>
          <w:sz w:val="24"/>
          <w:szCs w:val="24"/>
        </w:rPr>
        <w:t xml:space="preserve"> oblast Německo (SIM-TD).</w:t>
      </w:r>
    </w:p>
    <w:p w:rsidR="007210AC" w:rsidRPr="009D0DFE" w:rsidRDefault="007210AC" w:rsidP="009D0DFE">
      <w:pPr>
        <w:spacing w:after="120"/>
        <w:jc w:val="both"/>
        <w:rPr>
          <w:rFonts w:cstheme="minorHAnsi"/>
          <w:sz w:val="24"/>
          <w:szCs w:val="24"/>
        </w:rPr>
      </w:pPr>
      <w:r w:rsidRPr="009D0DFE">
        <w:rPr>
          <w:rFonts w:cstheme="minorHAnsi"/>
          <w:sz w:val="24"/>
          <w:szCs w:val="24"/>
        </w:rPr>
        <w:t xml:space="preserve">2. </w:t>
      </w:r>
      <w:r w:rsidR="00B45AB4" w:rsidRPr="009D0DFE">
        <w:rPr>
          <w:rFonts w:cstheme="minorHAnsi"/>
          <w:sz w:val="24"/>
          <w:szCs w:val="24"/>
        </w:rPr>
        <w:t>Dynamické řízení chování řidičů: Tento trend bude silně záviset na vývoji v telematice V2X. V současné době jsou logistické společnosti přijaty chování řidičů a bezpečnostní řešení, aby se zlepšila spotřeba paliva. U osobních vozidel je telematika v automobilu instalována převážně pojištěnými odběrateli. V budoucnu bud</w:t>
      </w:r>
      <w:r w:rsidR="0045053B" w:rsidRPr="009D0DFE">
        <w:rPr>
          <w:rFonts w:cstheme="minorHAnsi"/>
          <w:sz w:val="24"/>
          <w:szCs w:val="24"/>
        </w:rPr>
        <w:t>e</w:t>
      </w:r>
      <w:r w:rsidR="00B45AB4" w:rsidRPr="009D0DFE">
        <w:rPr>
          <w:rFonts w:cstheme="minorHAnsi"/>
          <w:sz w:val="24"/>
          <w:szCs w:val="24"/>
        </w:rPr>
        <w:t xml:space="preserve"> telematika ve vozidlech využívána místními dopravními úřady, aby upravila chování řidiče v závislosti na podmínkách silničního provozu a provozu. </w:t>
      </w:r>
    </w:p>
    <w:p w:rsidR="00B45AB4" w:rsidRPr="009D0DFE" w:rsidRDefault="007210AC" w:rsidP="009D0DFE">
      <w:pPr>
        <w:spacing w:after="120"/>
        <w:jc w:val="both"/>
        <w:rPr>
          <w:rFonts w:cstheme="minorHAnsi"/>
          <w:sz w:val="24"/>
          <w:szCs w:val="24"/>
        </w:rPr>
      </w:pPr>
      <w:r w:rsidRPr="009D0DFE">
        <w:rPr>
          <w:rFonts w:cstheme="minorHAnsi"/>
          <w:sz w:val="24"/>
          <w:szCs w:val="24"/>
        </w:rPr>
        <w:t>3.</w:t>
      </w:r>
      <w:r w:rsidR="00B45AB4" w:rsidRPr="009D0DFE">
        <w:rPr>
          <w:rFonts w:cstheme="minorHAnsi"/>
          <w:sz w:val="24"/>
          <w:szCs w:val="24"/>
        </w:rPr>
        <w:t xml:space="preserve"> Mobilní aplikace založené na otevřených datech: Otevřené údaje budou stimulovat vývojáře aplikací a umožňují informovanější rozhodování řidičům a cestujícím. Otevřené datové programy probíhají v několika evropských městech, včetně Helsinek, Berlína, Amsterdamu, Barcelony, Londýna a Paříže. Rozvoj inteligentních měst je rostoucí trh, ve kterém se inteligentní dopravní systémy stávají stále důležitějšími. Vzhledem k rostoucímu zájmu veřejnosti na místní i regionální úrovni má inteligentní mobilita potenciál otevřít významné obchodní příležitosti v různých oblastech ITS, včetně rozvoje hardwaru, softwaru a systémů. je zvýšení pojistného na pojištění automobilů o více než </w:t>
      </w:r>
      <w:proofErr w:type="gramStart"/>
      <w:r w:rsidR="00B45AB4" w:rsidRPr="009D0DFE">
        <w:rPr>
          <w:rFonts w:cstheme="minorHAnsi"/>
          <w:sz w:val="24"/>
          <w:szCs w:val="24"/>
        </w:rPr>
        <w:t>4%</w:t>
      </w:r>
      <w:proofErr w:type="gramEnd"/>
      <w:r w:rsidR="00B45AB4" w:rsidRPr="009D0DFE">
        <w:rPr>
          <w:rFonts w:cstheme="minorHAnsi"/>
          <w:sz w:val="24"/>
          <w:szCs w:val="24"/>
        </w:rPr>
        <w:t xml:space="preserve"> ročně.</w:t>
      </w:r>
    </w:p>
    <w:p w:rsidR="007210AC" w:rsidRPr="009D0DFE" w:rsidRDefault="007210AC" w:rsidP="009D0DFE">
      <w:pPr>
        <w:spacing w:after="120"/>
        <w:jc w:val="both"/>
        <w:rPr>
          <w:rFonts w:cstheme="minorHAnsi"/>
          <w:sz w:val="24"/>
          <w:szCs w:val="24"/>
        </w:rPr>
      </w:pPr>
    </w:p>
    <w:p w:rsidR="00E95908" w:rsidRPr="009D0DFE" w:rsidRDefault="007210AC" w:rsidP="009D0DFE">
      <w:pPr>
        <w:pStyle w:val="Odstavecseseznamem"/>
        <w:numPr>
          <w:ilvl w:val="0"/>
          <w:numId w:val="1"/>
        </w:numPr>
        <w:spacing w:after="120"/>
        <w:ind w:left="0" w:firstLine="0"/>
        <w:jc w:val="both"/>
        <w:rPr>
          <w:rFonts w:cstheme="minorHAnsi"/>
          <w:b/>
          <w:sz w:val="24"/>
          <w:szCs w:val="24"/>
        </w:rPr>
      </w:pPr>
      <w:r w:rsidRPr="009D0DFE">
        <w:rPr>
          <w:rFonts w:cstheme="minorHAnsi"/>
          <w:b/>
          <w:sz w:val="24"/>
          <w:szCs w:val="24"/>
        </w:rPr>
        <w:t>Rozvoj autonomní</w:t>
      </w:r>
      <w:r w:rsidR="00E95908" w:rsidRPr="009D0DFE">
        <w:rPr>
          <w:rFonts w:cstheme="minorHAnsi"/>
          <w:b/>
          <w:sz w:val="24"/>
          <w:szCs w:val="24"/>
        </w:rPr>
        <w:t xml:space="preserve"> </w:t>
      </w:r>
      <w:r w:rsidRPr="009D0DFE">
        <w:rPr>
          <w:rFonts w:cstheme="minorHAnsi"/>
          <w:b/>
          <w:sz w:val="24"/>
          <w:szCs w:val="24"/>
        </w:rPr>
        <w:t>mobility</w:t>
      </w:r>
    </w:p>
    <w:p w:rsidR="00E95908" w:rsidRPr="009D0DFE" w:rsidRDefault="00E95908" w:rsidP="009D0DFE">
      <w:pPr>
        <w:spacing w:after="120"/>
        <w:jc w:val="both"/>
        <w:rPr>
          <w:rFonts w:cstheme="minorHAnsi"/>
          <w:sz w:val="24"/>
          <w:szCs w:val="24"/>
        </w:rPr>
      </w:pPr>
      <w:r w:rsidRPr="009D0DFE">
        <w:rPr>
          <w:rFonts w:cstheme="minorHAnsi"/>
          <w:sz w:val="24"/>
          <w:szCs w:val="24"/>
        </w:rPr>
        <w:t>Inteligentní součásti a jejich systémová integrace, tradiční silné stránky evropských technologických odvětví, se stále více rozvíjejí v klíčové technologie umožňující inovativní výrobky a aplikace. Tento trend je nejvíce patrný v automobilovém průmyslu již řadu let, kdy systémy pomoci řidičům umožnily průlomy v oblasti bezpečnosti silničního provozu a cestujících, energeti</w:t>
      </w:r>
      <w:r w:rsidR="007210AC" w:rsidRPr="009D0DFE">
        <w:rPr>
          <w:rFonts w:cstheme="minorHAnsi"/>
          <w:sz w:val="24"/>
          <w:szCs w:val="24"/>
        </w:rPr>
        <w:t>cké účinnosti a snižování emisí</w:t>
      </w:r>
      <w:r w:rsidRPr="009D0DFE">
        <w:rPr>
          <w:rFonts w:cstheme="minorHAnsi"/>
          <w:sz w:val="24"/>
          <w:szCs w:val="24"/>
        </w:rPr>
        <w:t xml:space="preserve">. Dále na této cestě se zdá, že vyšší stupně automatizace silničních vozidel budou brzy uskutečnitelné. Automatizovaná jízda (AD) z dlouhodobého hlediska přispěje ke snížení počtu úmrtí na silnicích, zvyšuje produktivitu a sociální začlenění a přináší přidanou hodnotu z hlediska energetické účinnosti a ochrany životního prostředí. Jelikož evropští výrobci automobilů a dodavatelé automobilů úspěšně vyvíjejí a zavádějí pokročilé systémy asistence řidičů, trend směřující k AD je založen na </w:t>
      </w:r>
      <w:r w:rsidRPr="009D0DFE">
        <w:rPr>
          <w:rFonts w:cstheme="minorHAnsi"/>
          <w:sz w:val="24"/>
          <w:szCs w:val="24"/>
        </w:rPr>
        <w:lastRenderedPageBreak/>
        <w:t>vynikajícím poznatku. Slouží tak ke zvýšení konkurenceschopnosti evropského průmyslu na globálních trzích. Dále, AD, zvláště vysoká a plná automatizace, představuje slibnou aplikaci internetu věcí (</w:t>
      </w:r>
      <w:proofErr w:type="spellStart"/>
      <w:r w:rsidRPr="009D0DFE">
        <w:rPr>
          <w:rFonts w:cstheme="minorHAnsi"/>
          <w:sz w:val="24"/>
          <w:szCs w:val="24"/>
        </w:rPr>
        <w:t>IoT</w:t>
      </w:r>
      <w:proofErr w:type="spellEnd"/>
      <w:r w:rsidRPr="009D0DFE">
        <w:rPr>
          <w:rFonts w:cstheme="minorHAnsi"/>
          <w:sz w:val="24"/>
          <w:szCs w:val="24"/>
        </w:rPr>
        <w:t>) v odvětví mobility.</w:t>
      </w:r>
    </w:p>
    <w:p w:rsidR="00E95908" w:rsidRPr="009D0DFE" w:rsidRDefault="00E95908" w:rsidP="009D0DFE">
      <w:pPr>
        <w:spacing w:after="120"/>
        <w:jc w:val="both"/>
        <w:rPr>
          <w:rFonts w:cstheme="minorHAnsi"/>
          <w:sz w:val="24"/>
          <w:szCs w:val="24"/>
        </w:rPr>
      </w:pPr>
      <w:r w:rsidRPr="009D0DFE">
        <w:rPr>
          <w:rFonts w:cstheme="minorHAnsi"/>
          <w:sz w:val="24"/>
          <w:szCs w:val="24"/>
        </w:rPr>
        <w:t xml:space="preserve">Jako základ pro komplexní popis vývoje prostředí je třeba zvážit úrovně automatizace vozidel a kritéria pro jejich definici (viz obr. 1), neboť tyto mohou být zdrojem zmatku, pokud se diskutuje vývoj AD. Při definování úrovně automatizace vozidel je třeba vzít v úvahu tři základní kritéria. První důležité kritérium se týká řídících funkcí, tj. Schopnosti systému převzít žádné, a to buď podélné nebo boční ovládání, nebo obojí ve stejnou dobu. Druhé kritérium souvisí s lidským </w:t>
      </w:r>
      <w:r w:rsidR="007210AC" w:rsidRPr="009D0DFE">
        <w:rPr>
          <w:rFonts w:cstheme="minorHAnsi"/>
          <w:sz w:val="24"/>
          <w:szCs w:val="24"/>
        </w:rPr>
        <w:t>řidičem, a zda</w:t>
      </w:r>
      <w:r w:rsidRPr="009D0DFE">
        <w:rPr>
          <w:rFonts w:cstheme="minorHAnsi"/>
          <w:sz w:val="24"/>
          <w:szCs w:val="24"/>
        </w:rPr>
        <w:t xml:space="preserve"> mu může věnovat částečnou nebo úplnou pozornost jiným aktivitám kromě řízení. Třetí kritérium zohledňuje výkon vozidla a jeho schopnost samostatně "porozumět" procesům, které se objevují během jízdy.</w:t>
      </w:r>
    </w:p>
    <w:p w:rsidR="00E95908" w:rsidRPr="009D0DFE" w:rsidRDefault="0045053B" w:rsidP="009D0DFE">
      <w:pPr>
        <w:spacing w:after="120"/>
        <w:jc w:val="both"/>
        <w:rPr>
          <w:rFonts w:cstheme="minorHAnsi"/>
          <w:b/>
          <w:i/>
          <w:sz w:val="24"/>
          <w:szCs w:val="24"/>
        </w:rPr>
      </w:pPr>
      <w:r w:rsidRPr="009D0DFE">
        <w:rPr>
          <w:rFonts w:cstheme="minorHAnsi"/>
          <w:b/>
          <w:i/>
          <w:sz w:val="24"/>
          <w:szCs w:val="24"/>
        </w:rPr>
        <w:t>Obr. 1 Úrovně</w:t>
      </w:r>
      <w:r w:rsidR="00E95908" w:rsidRPr="009D0DFE">
        <w:rPr>
          <w:rFonts w:cstheme="minorHAnsi"/>
          <w:b/>
          <w:i/>
          <w:sz w:val="24"/>
          <w:szCs w:val="24"/>
        </w:rPr>
        <w:t xml:space="preserve"> automatizace</w:t>
      </w:r>
    </w:p>
    <w:p w:rsidR="00E95908" w:rsidRPr="009D0DFE" w:rsidRDefault="00E95908" w:rsidP="009D0DFE">
      <w:pPr>
        <w:spacing w:after="120"/>
        <w:jc w:val="both"/>
        <w:rPr>
          <w:rFonts w:cstheme="minorHAnsi"/>
          <w:sz w:val="24"/>
          <w:szCs w:val="24"/>
        </w:rPr>
      </w:pPr>
      <w:r w:rsidRPr="009D0DFE">
        <w:rPr>
          <w:rFonts w:cstheme="minorHAnsi"/>
          <w:noProof/>
          <w:sz w:val="24"/>
          <w:szCs w:val="24"/>
          <w:lang w:eastAsia="cs-CZ"/>
        </w:rPr>
        <w:drawing>
          <wp:inline distT="0" distB="0" distL="0" distR="0">
            <wp:extent cx="4985385" cy="1924050"/>
            <wp:effectExtent l="19050" t="0" r="571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985385" cy="1924050"/>
                    </a:xfrm>
                    <a:prstGeom prst="rect">
                      <a:avLst/>
                    </a:prstGeom>
                    <a:noFill/>
                    <a:ln w="9525">
                      <a:noFill/>
                      <a:miter lim="800000"/>
                      <a:headEnd/>
                      <a:tailEnd/>
                    </a:ln>
                  </pic:spPr>
                </pic:pic>
              </a:graphicData>
            </a:graphic>
          </wp:inline>
        </w:drawing>
      </w:r>
    </w:p>
    <w:p w:rsidR="00E95908" w:rsidRPr="009D0DFE" w:rsidRDefault="00E95908" w:rsidP="009D0DFE">
      <w:pPr>
        <w:spacing w:after="120"/>
        <w:jc w:val="both"/>
        <w:rPr>
          <w:rFonts w:cstheme="minorHAnsi"/>
          <w:sz w:val="24"/>
          <w:szCs w:val="24"/>
        </w:rPr>
      </w:pPr>
      <w:r w:rsidRPr="009D0DFE">
        <w:rPr>
          <w:rFonts w:cstheme="minorHAnsi"/>
          <w:sz w:val="24"/>
          <w:szCs w:val="24"/>
        </w:rPr>
        <w:t xml:space="preserve">Zdroj: </w:t>
      </w:r>
      <w:r w:rsidRPr="009D0DFE">
        <w:rPr>
          <w:rFonts w:cstheme="minorHAnsi"/>
          <w:bCs/>
          <w:sz w:val="24"/>
          <w:szCs w:val="24"/>
        </w:rPr>
        <w:t>SAE</w:t>
      </w:r>
      <w:r w:rsidR="0045053B" w:rsidRPr="009D0DFE">
        <w:rPr>
          <w:rFonts w:cstheme="minorHAnsi"/>
          <w:bCs/>
          <w:sz w:val="24"/>
          <w:szCs w:val="24"/>
        </w:rPr>
        <w:t xml:space="preserve"> International</w:t>
      </w:r>
      <w:r w:rsidRPr="009D0DFE">
        <w:rPr>
          <w:rFonts w:cstheme="minorHAnsi"/>
          <w:bCs/>
          <w:sz w:val="24"/>
          <w:szCs w:val="24"/>
        </w:rPr>
        <w:t xml:space="preserve">: </w:t>
      </w:r>
      <w:r w:rsidRPr="009D0DFE">
        <w:rPr>
          <w:rFonts w:cstheme="minorHAnsi"/>
          <w:sz w:val="24"/>
          <w:szCs w:val="24"/>
        </w:rPr>
        <w:t xml:space="preserve">Society of Automobile </w:t>
      </w:r>
      <w:proofErr w:type="spellStart"/>
      <w:r w:rsidRPr="009D0DFE">
        <w:rPr>
          <w:rFonts w:cstheme="minorHAnsi"/>
          <w:sz w:val="24"/>
          <w:szCs w:val="24"/>
        </w:rPr>
        <w:t>Engineers</w:t>
      </w:r>
      <w:proofErr w:type="spellEnd"/>
    </w:p>
    <w:p w:rsidR="007210AC" w:rsidRPr="009D0DFE" w:rsidRDefault="007210AC" w:rsidP="009D0DFE">
      <w:pPr>
        <w:spacing w:after="120"/>
        <w:jc w:val="both"/>
        <w:rPr>
          <w:rFonts w:cstheme="minorHAnsi"/>
          <w:sz w:val="24"/>
          <w:szCs w:val="24"/>
        </w:rPr>
      </w:pPr>
    </w:p>
    <w:p w:rsidR="00E95908" w:rsidRPr="009D0DFE" w:rsidRDefault="00E95908" w:rsidP="009D0DFE">
      <w:pPr>
        <w:spacing w:after="120"/>
        <w:jc w:val="both"/>
        <w:rPr>
          <w:rFonts w:cstheme="minorHAnsi"/>
          <w:sz w:val="24"/>
          <w:szCs w:val="24"/>
        </w:rPr>
      </w:pPr>
      <w:r w:rsidRPr="009D0DFE">
        <w:rPr>
          <w:rFonts w:cstheme="minorHAnsi"/>
          <w:sz w:val="24"/>
          <w:szCs w:val="24"/>
        </w:rPr>
        <w:t>Podle SAE International může být automatizace silničních vozidel roz</w:t>
      </w:r>
      <w:r w:rsidR="007210AC" w:rsidRPr="009D0DFE">
        <w:rPr>
          <w:rFonts w:cstheme="minorHAnsi"/>
          <w:sz w:val="24"/>
          <w:szCs w:val="24"/>
        </w:rPr>
        <w:t>dělena do šesti různých úrovní</w:t>
      </w:r>
      <w:r w:rsidRPr="009D0DFE">
        <w:rPr>
          <w:rFonts w:cstheme="minorHAnsi"/>
          <w:sz w:val="24"/>
          <w:szCs w:val="24"/>
        </w:rPr>
        <w:t xml:space="preserve">. Úrovně 0-2 berou v úvahu lidského řidiče jako hlavního herce odpovědného za jízdu. V případě závad má člověk řidič méně než jednu vteřinu na to, aby </w:t>
      </w:r>
      <w:r w:rsidR="007210AC" w:rsidRPr="009D0DFE">
        <w:rPr>
          <w:rFonts w:cstheme="minorHAnsi"/>
          <w:sz w:val="24"/>
          <w:szCs w:val="24"/>
        </w:rPr>
        <w:t>reagoval, a není</w:t>
      </w:r>
      <w:r w:rsidRPr="009D0DFE">
        <w:rPr>
          <w:rFonts w:cstheme="minorHAnsi"/>
          <w:sz w:val="24"/>
          <w:szCs w:val="24"/>
        </w:rPr>
        <w:t xml:space="preserve"> mu umožněno odvrátit pozornost od jiných činností kromě řízení. Zatímco evropští dodavatelé automobilových inteligentních komponent a systémů vynalezli a dále vylepšili systémy pomoci řidiče pro boční a podélnou kontrolu úrovní 0 a 1 v posledních letech, systémy pro částečnou automatizaci úrovně 2 jsou v současnosti předvedeny a v rané fázi trhu. Nejpokročilejší řešení, kombinace asistenčních systémů řidiče, jako je adaptivní tempomat (ACC) a varování při odjezdu z jízdního pruhu (LDW), se dnes v dnešních vozidlech používají ve vozidlech. Pro vyšší úrovně automatizace jako úrovně 3-5 bude vozidlo postupně přijímáno komplikovanými jízdními a rozhodovacími procesy. Pro úroveň 3 nebo podmíněnou automatizaci si vozidlo </w:t>
      </w:r>
      <w:r w:rsidR="007210AC" w:rsidRPr="009D0DFE">
        <w:rPr>
          <w:rFonts w:cstheme="minorHAnsi"/>
          <w:sz w:val="24"/>
          <w:szCs w:val="24"/>
        </w:rPr>
        <w:t xml:space="preserve">již </w:t>
      </w:r>
      <w:r w:rsidRPr="009D0DFE">
        <w:rPr>
          <w:rFonts w:cstheme="minorHAnsi"/>
          <w:sz w:val="24"/>
          <w:szCs w:val="24"/>
        </w:rPr>
        <w:t xml:space="preserve">uvědomuje své okolí. Doba reakce lidského řidiče se </w:t>
      </w:r>
      <w:r w:rsidR="007210AC" w:rsidRPr="009D0DFE">
        <w:rPr>
          <w:rFonts w:cstheme="minorHAnsi"/>
          <w:sz w:val="24"/>
          <w:szCs w:val="24"/>
        </w:rPr>
        <w:t>trvá</w:t>
      </w:r>
      <w:r w:rsidRPr="009D0DFE">
        <w:rPr>
          <w:rFonts w:cstheme="minorHAnsi"/>
          <w:sz w:val="24"/>
          <w:szCs w:val="24"/>
        </w:rPr>
        <w:t xml:space="preserve"> několik sekund, tj. </w:t>
      </w:r>
      <w:r w:rsidR="007210AC" w:rsidRPr="009D0DFE">
        <w:rPr>
          <w:rFonts w:cstheme="minorHAnsi"/>
          <w:sz w:val="24"/>
          <w:szCs w:val="24"/>
        </w:rPr>
        <w:t>v</w:t>
      </w:r>
      <w:r w:rsidRPr="009D0DFE">
        <w:rPr>
          <w:rFonts w:cstheme="minorHAnsi"/>
          <w:sz w:val="24"/>
          <w:szCs w:val="24"/>
        </w:rPr>
        <w:t xml:space="preserve">ozidlo </w:t>
      </w:r>
      <w:r w:rsidR="007210AC" w:rsidRPr="009D0DFE">
        <w:rPr>
          <w:rFonts w:cstheme="minorHAnsi"/>
          <w:sz w:val="24"/>
          <w:szCs w:val="24"/>
        </w:rPr>
        <w:t>požaduje po řidiči</w:t>
      </w:r>
      <w:r w:rsidRPr="009D0DFE">
        <w:rPr>
          <w:rFonts w:cstheme="minorHAnsi"/>
          <w:sz w:val="24"/>
          <w:szCs w:val="24"/>
        </w:rPr>
        <w:t xml:space="preserve"> zásah, pokud je to nutné. Pro automatizační úrovně 4 a 5 </w:t>
      </w:r>
      <w:r w:rsidR="007210AC" w:rsidRPr="009D0DFE">
        <w:rPr>
          <w:rFonts w:cstheme="minorHAnsi"/>
          <w:sz w:val="24"/>
          <w:szCs w:val="24"/>
        </w:rPr>
        <w:t>s</w:t>
      </w:r>
      <w:r w:rsidRPr="009D0DFE">
        <w:rPr>
          <w:rFonts w:cstheme="minorHAnsi"/>
          <w:sz w:val="24"/>
          <w:szCs w:val="24"/>
        </w:rPr>
        <w:t xml:space="preserve">e </w:t>
      </w:r>
      <w:r w:rsidR="007210AC" w:rsidRPr="009D0DFE">
        <w:rPr>
          <w:rFonts w:cstheme="minorHAnsi"/>
          <w:sz w:val="24"/>
          <w:szCs w:val="24"/>
        </w:rPr>
        <w:t xml:space="preserve">potřeba </w:t>
      </w:r>
      <w:r w:rsidRPr="009D0DFE">
        <w:rPr>
          <w:rFonts w:cstheme="minorHAnsi"/>
          <w:sz w:val="24"/>
          <w:szCs w:val="24"/>
        </w:rPr>
        <w:t xml:space="preserve">reakce lidského řidiče 3 prodlužuje se na několik minut, protože vozidlo je schopno reagovat nezávisle během celého pohonu. Úroveň 3 </w:t>
      </w:r>
      <w:r w:rsidRPr="009D0DFE">
        <w:rPr>
          <w:rFonts w:cstheme="minorHAnsi"/>
          <w:sz w:val="24"/>
          <w:szCs w:val="24"/>
        </w:rPr>
        <w:lastRenderedPageBreak/>
        <w:t xml:space="preserve">automatizace umožňuje lidskému řidiči provádět další činnosti během jízdy, zatímco úrovně 4 a 5 </w:t>
      </w:r>
      <w:r w:rsidR="007210AC" w:rsidRPr="009D0DFE">
        <w:rPr>
          <w:rFonts w:cstheme="minorHAnsi"/>
          <w:sz w:val="24"/>
          <w:szCs w:val="24"/>
        </w:rPr>
        <w:t xml:space="preserve">se </w:t>
      </w:r>
      <w:r w:rsidRPr="009D0DFE">
        <w:rPr>
          <w:rFonts w:cstheme="minorHAnsi"/>
          <w:sz w:val="24"/>
          <w:szCs w:val="24"/>
        </w:rPr>
        <w:t>považují za úplné přijetí jízdního procesu vozidlem, řidič může dokonce spát.</w:t>
      </w:r>
    </w:p>
    <w:p w:rsidR="007210AC" w:rsidRPr="009D0DFE" w:rsidRDefault="007210AC" w:rsidP="009D0DFE">
      <w:pPr>
        <w:spacing w:after="120"/>
        <w:jc w:val="both"/>
        <w:rPr>
          <w:rFonts w:cstheme="minorHAnsi"/>
          <w:b/>
          <w:sz w:val="24"/>
          <w:szCs w:val="24"/>
        </w:rPr>
      </w:pPr>
    </w:p>
    <w:p w:rsidR="00E95908" w:rsidRPr="009D0DFE" w:rsidRDefault="00E95908" w:rsidP="009D0DFE">
      <w:pPr>
        <w:pStyle w:val="Odstavecseseznamem"/>
        <w:numPr>
          <w:ilvl w:val="0"/>
          <w:numId w:val="2"/>
        </w:numPr>
        <w:spacing w:after="120"/>
        <w:ind w:left="0" w:firstLine="0"/>
        <w:jc w:val="both"/>
        <w:rPr>
          <w:rFonts w:cstheme="minorHAnsi"/>
          <w:b/>
          <w:sz w:val="24"/>
          <w:szCs w:val="24"/>
        </w:rPr>
      </w:pPr>
      <w:r w:rsidRPr="009D0DFE">
        <w:rPr>
          <w:rFonts w:cstheme="minorHAnsi"/>
          <w:b/>
          <w:sz w:val="24"/>
          <w:szCs w:val="24"/>
        </w:rPr>
        <w:t>Motivace a cíle</w:t>
      </w:r>
    </w:p>
    <w:p w:rsidR="007210AC" w:rsidRPr="009D0DFE" w:rsidRDefault="00E95908" w:rsidP="009D0DFE">
      <w:pPr>
        <w:spacing w:after="120"/>
        <w:jc w:val="both"/>
        <w:rPr>
          <w:rFonts w:cstheme="minorHAnsi"/>
          <w:sz w:val="24"/>
          <w:szCs w:val="24"/>
        </w:rPr>
      </w:pPr>
      <w:r w:rsidRPr="009D0DFE">
        <w:rPr>
          <w:rFonts w:cstheme="minorHAnsi"/>
          <w:sz w:val="24"/>
          <w:szCs w:val="24"/>
        </w:rPr>
        <w:t xml:space="preserve">Motivace pro implementaci AD je všestranná a zvažuje mimo jiné environmentální, demografické, sociální a ekonomické aspekty. Statistické údaje uvádějí, že </w:t>
      </w:r>
      <w:proofErr w:type="gramStart"/>
      <w:r w:rsidRPr="009D0DFE">
        <w:rPr>
          <w:rFonts w:cstheme="minorHAnsi"/>
          <w:sz w:val="24"/>
          <w:szCs w:val="24"/>
        </w:rPr>
        <w:t>68%</w:t>
      </w:r>
      <w:proofErr w:type="gramEnd"/>
      <w:r w:rsidRPr="009D0DFE">
        <w:rPr>
          <w:rFonts w:cstheme="minorHAnsi"/>
          <w:sz w:val="24"/>
          <w:szCs w:val="24"/>
        </w:rPr>
        <w:t xml:space="preserve"> obyvatel EU, včetně asistovaných států, žije v městských oblastech, zatímco šest evropských měst zahrnuje více než tři miliony obyvatel. Podle Světové zdravotnické organizace (WHO) se předpokládá, že do roku 2030 žije téměř ve třetině světové populace ve městech. To zdůvodňuje potřebu technologií, které podporují městskou mobilitu. AD nabízí vynikající řešení díky své schopnosti optimalizovat dopravní toky, a tím snižovat dopravní zácpy a nehody. Tímto způsobem může být značná redukce spotřeby paliva, a tudíž snížení oxidu uhlič</w:t>
      </w:r>
      <w:r w:rsidR="007210AC" w:rsidRPr="009D0DFE">
        <w:rPr>
          <w:rFonts w:cstheme="minorHAnsi"/>
          <w:sz w:val="24"/>
          <w:szCs w:val="24"/>
        </w:rPr>
        <w:t>itého a jiných škodlivých emisí</w:t>
      </w:r>
      <w:r w:rsidRPr="009D0DFE">
        <w:rPr>
          <w:rFonts w:cstheme="minorHAnsi"/>
          <w:sz w:val="24"/>
          <w:szCs w:val="24"/>
        </w:rPr>
        <w:t>. Rovněž je třeba očekávat značné zvýšení bezpečnosti silničního provozu a pohodlí, a to kvůli tomu, aby se předešlo lidským chybám při jízdě. To může zvýšit flexibilitu nevěřících a starších řidičů a zajistit jejich začlenění do mobility. Tím můžeme mluvit o "personalizované" dopravě, kde je určitá úroveň automatizace individuálně přizpůsobena podle potřeb zákazníka. To znamená, že doba, kdy řidič plně nevěnuje pozornost řízení, může být použit buď k odpočinku, nebo k práci, například zvýšením komfortu pro zaměstnance, kteří jsou často v pohybu. Proto lze očekávat, že AD vyvolá zvýšení produktivity.</w:t>
      </w:r>
    </w:p>
    <w:p w:rsidR="007210AC" w:rsidRPr="009D0DFE" w:rsidRDefault="00E95908" w:rsidP="009D0DFE">
      <w:pPr>
        <w:spacing w:after="120"/>
        <w:jc w:val="both"/>
        <w:rPr>
          <w:rFonts w:cstheme="minorHAnsi"/>
          <w:sz w:val="24"/>
          <w:szCs w:val="24"/>
        </w:rPr>
      </w:pPr>
      <w:r w:rsidRPr="009D0DFE">
        <w:rPr>
          <w:rFonts w:cstheme="minorHAnsi"/>
          <w:sz w:val="24"/>
          <w:szCs w:val="24"/>
        </w:rPr>
        <w:t>Podle Bílé knihy Evropské komise o dopravě je třeba navrhnout nové formy mobility pro překonání spolehlivosti, environmentální bezpečnosti a cenové dostupnosti směrem k udržitelným řešením pro přepravu osob a zboží. Tato řešení konečně přispějí k řešení globálních klimatických výzev, které odpovídají celosvětovým požadavkům a normám. Zároveň pro řešení silničního provozu a bezpečnosti Evropská komise oznámila ambiciózní cíl snížit počet úmrtí na evropských silnicích o polovinu do roku 2020. Teprve v roce 2012 zemřelo 27 700 lidí a na evropských silnicích bylo vážně zraněno 313 000 lidí.</w:t>
      </w:r>
    </w:p>
    <w:p w:rsidR="00E95908" w:rsidRPr="009D0DFE" w:rsidRDefault="00E95908" w:rsidP="009D0DFE">
      <w:pPr>
        <w:spacing w:after="120"/>
        <w:jc w:val="both"/>
        <w:rPr>
          <w:rFonts w:cstheme="minorHAnsi"/>
          <w:sz w:val="24"/>
          <w:szCs w:val="24"/>
        </w:rPr>
      </w:pPr>
      <w:r w:rsidRPr="009D0DFE">
        <w:rPr>
          <w:rFonts w:cstheme="minorHAnsi"/>
          <w:sz w:val="24"/>
          <w:szCs w:val="24"/>
        </w:rPr>
        <w:t>Každé vozidlo, které se objeví na trhu, musí splňovat požadavky standardu týkající se bezpečnosti, bezpečnosti, funkčnosti, účinnosti a robustnosti. Další vlastnosti, komfort, design, kvalita a nízká hmotnost budou konečně definovat konkurenceschopnost vozu na trhu a jeho cenu. Některé z nich přesahují rámec tohoto plánu pro inteligentní systémy.</w:t>
      </w:r>
      <w:r w:rsidR="007210AC" w:rsidRPr="009D0DFE">
        <w:rPr>
          <w:rFonts w:cstheme="minorHAnsi"/>
          <w:sz w:val="24"/>
          <w:szCs w:val="24"/>
        </w:rPr>
        <w:t xml:space="preserve"> </w:t>
      </w:r>
      <w:r w:rsidRPr="009D0DFE">
        <w:rPr>
          <w:rFonts w:cstheme="minorHAnsi"/>
          <w:sz w:val="24"/>
          <w:szCs w:val="24"/>
        </w:rPr>
        <w:t>Rovněž pro plynulý vývoj automatizovaného řízení není postačující pouze posunout technologický pokrok, ale je také nutné identifikovat všechna stávající a představitelná rizika. Existuje řada výzev, které je třeba sledovat a podmanit za účelem dosažení daných cílů.</w:t>
      </w:r>
    </w:p>
    <w:p w:rsidR="0045053B" w:rsidRPr="009D0DFE" w:rsidRDefault="0045053B" w:rsidP="009D0DFE">
      <w:pPr>
        <w:spacing w:after="120"/>
        <w:jc w:val="both"/>
        <w:rPr>
          <w:rFonts w:cstheme="minorHAnsi"/>
          <w:sz w:val="24"/>
          <w:szCs w:val="24"/>
        </w:rPr>
      </w:pPr>
    </w:p>
    <w:p w:rsidR="00E95908" w:rsidRPr="009D0DFE" w:rsidRDefault="002F261B" w:rsidP="009D0DFE">
      <w:pPr>
        <w:pStyle w:val="Odstavecseseznamem"/>
        <w:numPr>
          <w:ilvl w:val="0"/>
          <w:numId w:val="2"/>
        </w:numPr>
        <w:spacing w:after="120"/>
        <w:ind w:left="0" w:firstLine="0"/>
        <w:jc w:val="both"/>
        <w:rPr>
          <w:rFonts w:cstheme="minorHAnsi"/>
          <w:b/>
          <w:sz w:val="24"/>
          <w:szCs w:val="24"/>
        </w:rPr>
      </w:pPr>
      <w:r w:rsidRPr="009D0DFE">
        <w:rPr>
          <w:rFonts w:cstheme="minorHAnsi"/>
          <w:b/>
          <w:sz w:val="24"/>
          <w:szCs w:val="24"/>
        </w:rPr>
        <w:t>Příklady výzkumných</w:t>
      </w:r>
      <w:r w:rsidR="00E95908" w:rsidRPr="009D0DFE">
        <w:rPr>
          <w:rFonts w:cstheme="minorHAnsi"/>
          <w:b/>
          <w:sz w:val="24"/>
          <w:szCs w:val="24"/>
        </w:rPr>
        <w:t xml:space="preserve"> projekt</w:t>
      </w:r>
      <w:r w:rsidRPr="009D0DFE">
        <w:rPr>
          <w:rFonts w:cstheme="minorHAnsi"/>
          <w:b/>
          <w:sz w:val="24"/>
          <w:szCs w:val="24"/>
        </w:rPr>
        <w:t>ů autonomní mobility a zkušebního testování v praxi</w:t>
      </w:r>
    </w:p>
    <w:p w:rsidR="002F261B" w:rsidRPr="009D0DFE" w:rsidRDefault="00E95908" w:rsidP="009D0DFE">
      <w:pPr>
        <w:spacing w:after="120"/>
        <w:jc w:val="both"/>
        <w:rPr>
          <w:rFonts w:cstheme="minorHAnsi"/>
          <w:sz w:val="24"/>
          <w:szCs w:val="24"/>
        </w:rPr>
      </w:pPr>
      <w:r w:rsidRPr="009D0DFE">
        <w:rPr>
          <w:rFonts w:cstheme="minorHAnsi"/>
          <w:sz w:val="24"/>
          <w:szCs w:val="24"/>
        </w:rPr>
        <w:t xml:space="preserve">Evropská komise a veřejné orgány členských států EU již financovaly řadu výzkumných a inovačních projektů, které vytvořily pevný základ pro další rozvoj automatizovaného řízení v </w:t>
      </w:r>
      <w:r w:rsidRPr="009D0DFE">
        <w:rPr>
          <w:rFonts w:cstheme="minorHAnsi"/>
          <w:sz w:val="24"/>
          <w:szCs w:val="24"/>
        </w:rPr>
        <w:lastRenderedPageBreak/>
        <w:t>Evropě:</w:t>
      </w:r>
      <w:r w:rsidRPr="009D0DFE">
        <w:rPr>
          <w:rFonts w:cstheme="minorHAnsi"/>
          <w:sz w:val="24"/>
          <w:szCs w:val="24"/>
        </w:rPr>
        <w:br/>
        <w:t>1) Jedním z prvních výzkumných akcí podporujících tvorbu koncepcí a řešení směřujících ke zvýšení stupně bezpečnosti na evropských silnicích byl projekt PROMETHEUS v rámci programu EUREKA. Projekt byl financován z PPP s celkovými náklady téměř 750 milionů EUR v období osm let, v letech 1987 až 1995. Mezi účastníky programu patřily společnosti, univerzity a výzkumné instituce z 11 evropských zemí. Tento výzkumný projekt významně přispěl k rozvoji radarové techniky. Finanční páteří EUREKA jsou národní agentury pro financování.</w:t>
      </w:r>
    </w:p>
    <w:p w:rsidR="002F261B" w:rsidRPr="009D0DFE" w:rsidRDefault="00E95908" w:rsidP="009D0DFE">
      <w:pPr>
        <w:spacing w:after="120"/>
        <w:jc w:val="both"/>
        <w:rPr>
          <w:rFonts w:cstheme="minorHAnsi"/>
          <w:sz w:val="24"/>
          <w:szCs w:val="24"/>
        </w:rPr>
      </w:pPr>
      <w:r w:rsidRPr="009D0DFE">
        <w:rPr>
          <w:rFonts w:cstheme="minorHAnsi"/>
          <w:sz w:val="24"/>
          <w:szCs w:val="24"/>
        </w:rPr>
        <w:t xml:space="preserve">2) </w:t>
      </w:r>
      <w:proofErr w:type="spellStart"/>
      <w:r w:rsidRPr="009D0DFE">
        <w:rPr>
          <w:rFonts w:cstheme="minorHAnsi"/>
          <w:sz w:val="24"/>
          <w:szCs w:val="24"/>
        </w:rPr>
        <w:t>PReVENT</w:t>
      </w:r>
      <w:proofErr w:type="spellEnd"/>
      <w:r w:rsidRPr="009D0DFE">
        <w:rPr>
          <w:rFonts w:cstheme="minorHAnsi"/>
          <w:sz w:val="24"/>
          <w:szCs w:val="24"/>
        </w:rPr>
        <w:t xml:space="preserve"> integrovaného projektu (IP) byl financován Evropskou komisí v období mezi únorem 2004 a lednem 2008. Projekt sdružil více než padesát partnerů z automobilového průmyslu a výzkum zaměřený na vývoj, testování a šíření informací o </w:t>
      </w:r>
      <w:proofErr w:type="spellStart"/>
      <w:r w:rsidRPr="009D0DFE">
        <w:rPr>
          <w:rFonts w:cstheme="minorHAnsi"/>
          <w:sz w:val="24"/>
          <w:szCs w:val="24"/>
        </w:rPr>
        <w:t>Advanced</w:t>
      </w:r>
      <w:proofErr w:type="spellEnd"/>
      <w:r w:rsidRPr="009D0DFE">
        <w:rPr>
          <w:rFonts w:cstheme="minorHAnsi"/>
          <w:sz w:val="24"/>
          <w:szCs w:val="24"/>
        </w:rPr>
        <w:t xml:space="preserve"> Driver </w:t>
      </w:r>
      <w:proofErr w:type="spellStart"/>
      <w:r w:rsidRPr="009D0DFE">
        <w:rPr>
          <w:rFonts w:cstheme="minorHAnsi"/>
          <w:sz w:val="24"/>
          <w:szCs w:val="24"/>
        </w:rPr>
        <w:t>Assistance</w:t>
      </w:r>
      <w:proofErr w:type="spellEnd"/>
      <w:r w:rsidRPr="009D0DFE">
        <w:rPr>
          <w:rFonts w:cstheme="minorHAnsi"/>
          <w:sz w:val="24"/>
          <w:szCs w:val="24"/>
        </w:rPr>
        <w:t xml:space="preserve"> Systems (ADAS). Kombinací informací o senzorech s komunikačními a polohovacími službami bylo dosaženo výrazného zlepšení celkové bezpečnosti jízdy.</w:t>
      </w:r>
    </w:p>
    <w:p w:rsidR="002F261B" w:rsidRPr="009D0DFE" w:rsidRDefault="00E95908" w:rsidP="009D0DFE">
      <w:pPr>
        <w:spacing w:after="120"/>
        <w:jc w:val="both"/>
        <w:rPr>
          <w:rFonts w:cstheme="minorHAnsi"/>
          <w:sz w:val="24"/>
          <w:szCs w:val="24"/>
        </w:rPr>
      </w:pPr>
      <w:r w:rsidRPr="009D0DFE">
        <w:rPr>
          <w:rFonts w:cstheme="minorHAnsi"/>
          <w:sz w:val="24"/>
          <w:szCs w:val="24"/>
        </w:rPr>
        <w:t xml:space="preserve">3) Projekt EU byl financován od roku 2008 do roku 2011 s rozpočtem 28 milionů EUR. Projekt byl veden společností Continental </w:t>
      </w:r>
      <w:proofErr w:type="spellStart"/>
      <w:r w:rsidRPr="009D0DFE">
        <w:rPr>
          <w:rFonts w:cstheme="minorHAnsi"/>
          <w:sz w:val="24"/>
          <w:szCs w:val="24"/>
        </w:rPr>
        <w:t>Automotive</w:t>
      </w:r>
      <w:proofErr w:type="spellEnd"/>
      <w:r w:rsidRPr="009D0DFE">
        <w:rPr>
          <w:rFonts w:cstheme="minorHAnsi"/>
          <w:sz w:val="24"/>
          <w:szCs w:val="24"/>
        </w:rPr>
        <w:t xml:space="preserve"> pro síť 17 evropských partnerů pocházejících z automobilového průmyslu a univerzit. Cílem společnosti </w:t>
      </w:r>
      <w:proofErr w:type="spellStart"/>
      <w:r w:rsidRPr="009D0DFE">
        <w:rPr>
          <w:rFonts w:cstheme="minorHAnsi"/>
          <w:sz w:val="24"/>
          <w:szCs w:val="24"/>
        </w:rPr>
        <w:t>HAVEit</w:t>
      </w:r>
      <w:proofErr w:type="spellEnd"/>
      <w:r w:rsidRPr="009D0DFE">
        <w:rPr>
          <w:rFonts w:cstheme="minorHAnsi"/>
          <w:sz w:val="24"/>
          <w:szCs w:val="24"/>
        </w:rPr>
        <w:t xml:space="preserve"> bylo zvýšit bezpečnost jízdy a podpořit evropský automobilový průmysl na mezinárodním trhu. V rámci projektu byly vyvinuty a implementovány několik režimů automatizace jako pomocná údržba jízdního pruhu n</w:t>
      </w:r>
      <w:r w:rsidR="007210AC" w:rsidRPr="009D0DFE">
        <w:rPr>
          <w:rFonts w:cstheme="minorHAnsi"/>
          <w:sz w:val="24"/>
          <w:szCs w:val="24"/>
        </w:rPr>
        <w:t>ebo pomoc při nouzovém brzdění.</w:t>
      </w:r>
    </w:p>
    <w:p w:rsidR="007210AC" w:rsidRPr="009D0DFE" w:rsidRDefault="00E95908" w:rsidP="009D0DFE">
      <w:pPr>
        <w:spacing w:after="120"/>
        <w:jc w:val="both"/>
        <w:rPr>
          <w:rFonts w:cstheme="minorHAnsi"/>
          <w:sz w:val="24"/>
          <w:szCs w:val="24"/>
        </w:rPr>
      </w:pPr>
      <w:r w:rsidRPr="009D0DFE">
        <w:rPr>
          <w:rFonts w:cstheme="minorHAnsi"/>
          <w:sz w:val="24"/>
          <w:szCs w:val="24"/>
        </w:rPr>
        <w:t>4) Projekt SARTRE byl financován EU od roku 2009 do roku 2012. Cílem partnerství, které zahrnovalo sedm evropských společností, bylo podpořit používání silničních vozů (čet) pro osobní dopravu. Praktické aplikace výcviku byly testovány na vysokorychlostní trati na veřejné dopravě v blízkosti Barcelony ve Španělsku. Je třeba si uvědomit, že SARTRE měl řadu předchůdců, jako jsou dva projekty CHAUFFEUR a PEIT, které vyvíjejí inteligentní systémy vozidel a pracují jako konsorcium společností a vzdělávacích institucí27. Projekt COMPANION bude financován Evropskou unií až do roku 2016 jako nástupnický projekt SARTRE s cílem určit prostředky pro praktické využití výcviků v denní dopravě, a to především u těžkých nákladních vozidel.</w:t>
      </w:r>
    </w:p>
    <w:p w:rsidR="002F261B" w:rsidRPr="009D0DFE" w:rsidRDefault="002F261B" w:rsidP="009D0DFE">
      <w:pPr>
        <w:spacing w:after="120"/>
        <w:jc w:val="both"/>
        <w:rPr>
          <w:rFonts w:cstheme="minorHAnsi"/>
          <w:sz w:val="24"/>
          <w:szCs w:val="24"/>
        </w:rPr>
      </w:pPr>
      <w:r w:rsidRPr="009D0DFE">
        <w:rPr>
          <w:rFonts w:cstheme="minorHAnsi"/>
          <w:sz w:val="24"/>
          <w:szCs w:val="24"/>
        </w:rPr>
        <w:t xml:space="preserve">5) Projekt </w:t>
      </w:r>
      <w:proofErr w:type="spellStart"/>
      <w:r w:rsidRPr="009D0DFE">
        <w:rPr>
          <w:rFonts w:cstheme="minorHAnsi"/>
          <w:sz w:val="24"/>
          <w:szCs w:val="24"/>
        </w:rPr>
        <w:t>interactIVe</w:t>
      </w:r>
      <w:proofErr w:type="spellEnd"/>
      <w:r w:rsidRPr="009D0DFE">
        <w:rPr>
          <w:rFonts w:cstheme="minorHAnsi"/>
          <w:sz w:val="24"/>
          <w:szCs w:val="24"/>
        </w:rPr>
        <w:t xml:space="preserve"> byl financován Evropskou komisí v období od roku 2010 do roku 2013. 29 společností z deseti zemí spolupracovalo na zvýšení dopravních nehod v Evropě a vyvinulo pokročilé systémy pomoci pro bezpečnější a efektivnější řízení. </w:t>
      </w:r>
    </w:p>
    <w:p w:rsidR="002F261B" w:rsidRPr="009D0DFE" w:rsidRDefault="002F261B" w:rsidP="009D0DFE">
      <w:pPr>
        <w:spacing w:after="120"/>
        <w:jc w:val="both"/>
        <w:rPr>
          <w:rFonts w:cstheme="minorHAnsi"/>
          <w:sz w:val="24"/>
          <w:szCs w:val="24"/>
        </w:rPr>
      </w:pPr>
      <w:r w:rsidRPr="009D0DFE">
        <w:rPr>
          <w:rFonts w:cstheme="minorHAnsi"/>
          <w:sz w:val="24"/>
          <w:szCs w:val="24"/>
        </w:rPr>
        <w:t xml:space="preserve">6) Evropský projekt </w:t>
      </w:r>
      <w:proofErr w:type="spellStart"/>
      <w:r w:rsidRPr="009D0DFE">
        <w:rPr>
          <w:rFonts w:cstheme="minorHAnsi"/>
          <w:sz w:val="24"/>
          <w:szCs w:val="24"/>
        </w:rPr>
        <w:t>AdaptIVe</w:t>
      </w:r>
      <w:proofErr w:type="spellEnd"/>
      <w:r w:rsidRPr="009D0DFE">
        <w:rPr>
          <w:rFonts w:cstheme="minorHAnsi"/>
          <w:sz w:val="24"/>
          <w:szCs w:val="24"/>
        </w:rPr>
        <w:t xml:space="preserve"> vyvíjí funkce pro automatizované řízení a je vybudo</w:t>
      </w:r>
      <w:r w:rsidR="007210AC" w:rsidRPr="009D0DFE">
        <w:rPr>
          <w:rFonts w:cstheme="minorHAnsi"/>
          <w:sz w:val="24"/>
          <w:szCs w:val="24"/>
        </w:rPr>
        <w:t>ván jako konsorcium 29 partnerů</w:t>
      </w:r>
      <w:r w:rsidRPr="009D0DFE">
        <w:rPr>
          <w:rFonts w:cstheme="minorHAnsi"/>
          <w:sz w:val="24"/>
          <w:szCs w:val="24"/>
        </w:rPr>
        <w:t>. Projekt byl zahájen v roce 2014 a jeho cílem je poskytnout zlepšení, které by vedly k bezpečnějšímu a efektivnějšímu procesu AD, v rámci trvání projektu 42 měsíců.</w:t>
      </w:r>
    </w:p>
    <w:p w:rsidR="004B2164" w:rsidRPr="009D0DFE" w:rsidRDefault="002F261B" w:rsidP="009D0DFE">
      <w:pPr>
        <w:spacing w:after="120"/>
        <w:jc w:val="both"/>
        <w:rPr>
          <w:rFonts w:cstheme="minorHAnsi"/>
          <w:sz w:val="24"/>
          <w:szCs w:val="24"/>
        </w:rPr>
      </w:pPr>
      <w:r w:rsidRPr="009D0DFE">
        <w:rPr>
          <w:rFonts w:cstheme="minorHAnsi"/>
          <w:sz w:val="24"/>
          <w:szCs w:val="24"/>
        </w:rPr>
        <w:t xml:space="preserve">Nejnovější trendy jasně ukazují, jak důležité je vytvořit a demonstrovat vizi, která bude fungovat jako snaha o inovace v automatizovaném řízení, která přesahuje současný výzkum a vývoj. Přestože předložená řešení mohou být ještě zdaleka neúspěšná, tento druh komunikace může významně přispět ke zvýšení povědomí o potenciálních výhodách </w:t>
      </w:r>
      <w:r w:rsidRPr="009D0DFE">
        <w:rPr>
          <w:rFonts w:cstheme="minorHAnsi"/>
          <w:sz w:val="24"/>
          <w:szCs w:val="24"/>
        </w:rPr>
        <w:lastRenderedPageBreak/>
        <w:t>automatizované jízdy mezi všemi účastníky silničního provozu a budoucími zákazníky. Ve stejném smyslu jako společnost Google uspořádali evropští výrobci vozidel demonstrační akce, které vykazují působivé rysy a umožňují širšímu publiku seznámit se s novými technologickými</w:t>
      </w:r>
      <w:r w:rsidRPr="009D0DFE">
        <w:rPr>
          <w:rFonts w:cstheme="minorHAnsi"/>
          <w:sz w:val="24"/>
          <w:szCs w:val="24"/>
        </w:rPr>
        <w:br/>
      </w:r>
    </w:p>
    <w:p w:rsidR="002F261B" w:rsidRPr="009D0DFE" w:rsidRDefault="002F261B" w:rsidP="009D0DFE">
      <w:pPr>
        <w:pStyle w:val="Odstavecseseznamem"/>
        <w:numPr>
          <w:ilvl w:val="0"/>
          <w:numId w:val="2"/>
        </w:numPr>
        <w:spacing w:after="120"/>
        <w:ind w:left="0" w:firstLine="0"/>
        <w:jc w:val="both"/>
        <w:rPr>
          <w:rFonts w:cstheme="minorHAnsi"/>
          <w:b/>
          <w:sz w:val="24"/>
          <w:szCs w:val="24"/>
        </w:rPr>
      </w:pPr>
      <w:r w:rsidRPr="009D0DFE">
        <w:rPr>
          <w:rFonts w:cstheme="minorHAnsi"/>
          <w:b/>
          <w:sz w:val="24"/>
          <w:szCs w:val="24"/>
        </w:rPr>
        <w:t>Vývoj v oblasti autonomní mobility</w:t>
      </w:r>
    </w:p>
    <w:p w:rsidR="001A5871" w:rsidRPr="009D0DFE" w:rsidRDefault="002F261B" w:rsidP="009D0DFE">
      <w:pPr>
        <w:spacing w:after="120"/>
        <w:jc w:val="both"/>
        <w:rPr>
          <w:rFonts w:cstheme="minorHAnsi"/>
          <w:sz w:val="24"/>
          <w:szCs w:val="24"/>
        </w:rPr>
      </w:pPr>
      <w:r w:rsidRPr="009D0DFE">
        <w:rPr>
          <w:rFonts w:cstheme="minorHAnsi"/>
          <w:sz w:val="24"/>
          <w:szCs w:val="24"/>
        </w:rPr>
        <w:t>V technickém pokroku v automatizovaném řízení, lze rozlišovat evoluční a skokové (</w:t>
      </w:r>
      <w:proofErr w:type="gramStart"/>
      <w:r w:rsidRPr="009D0DFE">
        <w:rPr>
          <w:rFonts w:cstheme="minorHAnsi"/>
          <w:sz w:val="24"/>
          <w:szCs w:val="24"/>
        </w:rPr>
        <w:t>revoluční)  vývojové</w:t>
      </w:r>
      <w:proofErr w:type="gramEnd"/>
      <w:r w:rsidRPr="009D0DFE">
        <w:rPr>
          <w:rFonts w:cstheme="minorHAnsi"/>
          <w:sz w:val="24"/>
          <w:szCs w:val="24"/>
        </w:rPr>
        <w:t xml:space="preserve"> změny Podle evolučního scénáře bude rozvoj a zavedení AD procházet stálým zvyšováním úrovní autonomie systému vozidel ve stále komplexnějších prostředích umožňujících vyšší a vyšší rychlosti. </w:t>
      </w:r>
    </w:p>
    <w:p w:rsidR="001A5871" w:rsidRPr="009D0DFE" w:rsidRDefault="001A5871" w:rsidP="009D0DFE">
      <w:pPr>
        <w:spacing w:after="120"/>
        <w:jc w:val="both"/>
        <w:rPr>
          <w:rFonts w:cstheme="minorHAnsi"/>
          <w:sz w:val="24"/>
          <w:szCs w:val="24"/>
        </w:rPr>
      </w:pPr>
      <w:r w:rsidRPr="009D0DFE">
        <w:rPr>
          <w:rFonts w:cstheme="minorHAnsi"/>
          <w:sz w:val="24"/>
          <w:szCs w:val="24"/>
        </w:rPr>
        <w:t xml:space="preserve">V současnosti lze odhadnout a </w:t>
      </w:r>
      <w:r w:rsidR="002F261B" w:rsidRPr="009D0DFE">
        <w:rPr>
          <w:rFonts w:cstheme="minorHAnsi"/>
          <w:sz w:val="24"/>
          <w:szCs w:val="24"/>
        </w:rPr>
        <w:t xml:space="preserve">nastavit následující </w:t>
      </w:r>
      <w:r w:rsidRPr="009D0DFE">
        <w:rPr>
          <w:rFonts w:cstheme="minorHAnsi"/>
          <w:sz w:val="24"/>
          <w:szCs w:val="24"/>
        </w:rPr>
        <w:t>směry vývoje autonomní mobility</w:t>
      </w:r>
      <w:r w:rsidR="002F261B" w:rsidRPr="009D0DFE">
        <w:rPr>
          <w:rFonts w:cstheme="minorHAnsi"/>
          <w:sz w:val="24"/>
          <w:szCs w:val="24"/>
        </w:rPr>
        <w:t>:</w:t>
      </w:r>
      <w:r w:rsidR="002F261B" w:rsidRPr="009D0DFE">
        <w:rPr>
          <w:rFonts w:cstheme="minorHAnsi"/>
          <w:sz w:val="24"/>
          <w:szCs w:val="24"/>
        </w:rPr>
        <w:br/>
      </w:r>
      <w:r w:rsidRPr="009D0DFE">
        <w:rPr>
          <w:rFonts w:cstheme="minorHAnsi"/>
          <w:sz w:val="24"/>
          <w:szCs w:val="24"/>
        </w:rPr>
        <w:t>Fáze</w:t>
      </w:r>
      <w:r w:rsidR="002F261B" w:rsidRPr="009D0DFE">
        <w:rPr>
          <w:rFonts w:cstheme="minorHAnsi"/>
          <w:sz w:val="24"/>
          <w:szCs w:val="24"/>
        </w:rPr>
        <w:t xml:space="preserve"> 1</w:t>
      </w:r>
      <w:r w:rsidRPr="009D0DFE">
        <w:rPr>
          <w:rFonts w:cstheme="minorHAnsi"/>
          <w:sz w:val="24"/>
          <w:szCs w:val="24"/>
        </w:rPr>
        <w:t xml:space="preserve">. Rozvine se </w:t>
      </w:r>
      <w:r w:rsidR="002F261B" w:rsidRPr="009D0DFE">
        <w:rPr>
          <w:rFonts w:cstheme="minorHAnsi"/>
          <w:sz w:val="24"/>
          <w:szCs w:val="24"/>
        </w:rPr>
        <w:t>podmíněná automatizovaná jízda, bude k dispozici v nízkých rychlostech a méně složitých jízdních prostředích, např. na parkovištích nebo v dopravních zácpách na motorových cestách. Do roku 2020 by měl být řidič silničního provozu s odchylkou jízdního pruhu zcela použitelný při nižších rychlostech, po kterém bude následovat dostupnost dálničního řidiče v roce 2022.</w:t>
      </w:r>
    </w:p>
    <w:p w:rsidR="001A5871" w:rsidRPr="009D0DFE" w:rsidRDefault="001A5871" w:rsidP="009D0DFE">
      <w:pPr>
        <w:spacing w:after="120"/>
        <w:jc w:val="both"/>
        <w:rPr>
          <w:rFonts w:cstheme="minorHAnsi"/>
          <w:sz w:val="24"/>
          <w:szCs w:val="24"/>
        </w:rPr>
      </w:pPr>
      <w:r w:rsidRPr="009D0DFE">
        <w:rPr>
          <w:rFonts w:cstheme="minorHAnsi"/>
          <w:sz w:val="24"/>
          <w:szCs w:val="24"/>
        </w:rPr>
        <w:t>Fáze 2.</w:t>
      </w:r>
      <w:r w:rsidR="002F261B" w:rsidRPr="009D0DFE">
        <w:rPr>
          <w:rFonts w:cstheme="minorHAnsi"/>
          <w:sz w:val="24"/>
          <w:szCs w:val="24"/>
        </w:rPr>
        <w:t xml:space="preserve"> Dalším krokem b</w:t>
      </w:r>
      <w:r w:rsidRPr="009D0DFE">
        <w:rPr>
          <w:rFonts w:cstheme="minorHAnsi"/>
          <w:sz w:val="24"/>
          <w:szCs w:val="24"/>
        </w:rPr>
        <w:t>ude</w:t>
      </w:r>
      <w:r w:rsidR="002F261B" w:rsidRPr="009D0DFE">
        <w:rPr>
          <w:rFonts w:cstheme="minorHAnsi"/>
          <w:sz w:val="24"/>
          <w:szCs w:val="24"/>
        </w:rPr>
        <w:t xml:space="preserve"> dostupnost vyšší úrovně AD (úroveň 4) na dálnicích. </w:t>
      </w:r>
      <w:r w:rsidRPr="009D0DFE">
        <w:rPr>
          <w:rFonts w:cstheme="minorHAnsi"/>
          <w:sz w:val="24"/>
          <w:szCs w:val="24"/>
        </w:rPr>
        <w:t>A</w:t>
      </w:r>
      <w:r w:rsidR="002F261B" w:rsidRPr="009D0DFE">
        <w:rPr>
          <w:rFonts w:cstheme="minorHAnsi"/>
          <w:sz w:val="24"/>
          <w:szCs w:val="24"/>
        </w:rPr>
        <w:t xml:space="preserve">utopilot </w:t>
      </w:r>
      <w:r w:rsidRPr="009D0DFE">
        <w:rPr>
          <w:rFonts w:cstheme="minorHAnsi"/>
          <w:sz w:val="24"/>
          <w:szCs w:val="24"/>
        </w:rPr>
        <w:t xml:space="preserve">by </w:t>
      </w:r>
      <w:r w:rsidR="002F261B" w:rsidRPr="009D0DFE">
        <w:rPr>
          <w:rFonts w:cstheme="minorHAnsi"/>
          <w:sz w:val="24"/>
          <w:szCs w:val="24"/>
        </w:rPr>
        <w:t>poskytl řidiči více volnosti,</w:t>
      </w:r>
      <w:r w:rsidRPr="009D0DFE">
        <w:rPr>
          <w:rFonts w:cstheme="minorHAnsi"/>
          <w:sz w:val="24"/>
          <w:szCs w:val="24"/>
        </w:rPr>
        <w:t xml:space="preserve"> s</w:t>
      </w:r>
      <w:r w:rsidR="002F261B" w:rsidRPr="009D0DFE">
        <w:rPr>
          <w:rFonts w:cstheme="minorHAnsi"/>
          <w:sz w:val="24"/>
          <w:szCs w:val="24"/>
        </w:rPr>
        <w:t>oučasně budou mít vozy vysoce vyvinuté monitorovací systémy obklopující prostor, které by jim umožnily jednat okamžitě, zejména s cílem zabránit kolizím a zvládat nebezpečné situace na železničních přejezdech pro střední a vysoké rychlosti</w:t>
      </w:r>
      <w:r w:rsidR="004B2164" w:rsidRPr="009D0DFE">
        <w:rPr>
          <w:rFonts w:cstheme="minorHAnsi"/>
          <w:sz w:val="24"/>
          <w:szCs w:val="24"/>
        </w:rPr>
        <w:t xml:space="preserve"> </w:t>
      </w:r>
      <w:r w:rsidR="002F261B" w:rsidRPr="009D0DFE">
        <w:rPr>
          <w:rFonts w:cstheme="minorHAnsi"/>
          <w:sz w:val="24"/>
          <w:szCs w:val="24"/>
        </w:rPr>
        <w:t>vozidel.</w:t>
      </w:r>
    </w:p>
    <w:p w:rsidR="002F261B" w:rsidRPr="009D0DFE" w:rsidRDefault="001A5871" w:rsidP="009D0DFE">
      <w:pPr>
        <w:spacing w:after="120"/>
        <w:jc w:val="both"/>
        <w:rPr>
          <w:rFonts w:cstheme="minorHAnsi"/>
          <w:sz w:val="24"/>
          <w:szCs w:val="24"/>
        </w:rPr>
      </w:pPr>
      <w:r w:rsidRPr="009D0DFE">
        <w:rPr>
          <w:rFonts w:cstheme="minorHAnsi"/>
          <w:sz w:val="24"/>
          <w:szCs w:val="24"/>
        </w:rPr>
        <w:t>Fáze 3.</w:t>
      </w:r>
      <w:r w:rsidR="002F261B" w:rsidRPr="009D0DFE">
        <w:rPr>
          <w:rFonts w:cstheme="minorHAnsi"/>
          <w:sz w:val="24"/>
          <w:szCs w:val="24"/>
        </w:rPr>
        <w:t xml:space="preserve"> Vysoce AD ​</w:t>
      </w:r>
      <w:proofErr w:type="gramStart"/>
      <w:r w:rsidR="002F261B" w:rsidRPr="009D0DFE">
        <w:rPr>
          <w:rFonts w:cstheme="minorHAnsi"/>
          <w:sz w:val="24"/>
          <w:szCs w:val="24"/>
        </w:rPr>
        <w:t>​(</w:t>
      </w:r>
      <w:proofErr w:type="gramEnd"/>
      <w:r w:rsidR="002F261B" w:rsidRPr="009D0DFE">
        <w:rPr>
          <w:rFonts w:cstheme="minorHAnsi"/>
          <w:sz w:val="24"/>
          <w:szCs w:val="24"/>
        </w:rPr>
        <w:t>úroveň 4) bude roz</w:t>
      </w:r>
      <w:r w:rsidRPr="009D0DFE">
        <w:rPr>
          <w:rFonts w:cstheme="minorHAnsi"/>
          <w:sz w:val="24"/>
          <w:szCs w:val="24"/>
        </w:rPr>
        <w:t xml:space="preserve">vinuta ve městech pravděpodobně z </w:t>
      </w:r>
      <w:r w:rsidR="002F261B" w:rsidRPr="009D0DFE">
        <w:rPr>
          <w:rFonts w:cstheme="minorHAnsi"/>
          <w:sz w:val="24"/>
          <w:szCs w:val="24"/>
        </w:rPr>
        <w:t>nové</w:t>
      </w:r>
      <w:r w:rsidRPr="009D0DFE">
        <w:rPr>
          <w:rFonts w:cstheme="minorHAnsi"/>
          <w:sz w:val="24"/>
          <w:szCs w:val="24"/>
        </w:rPr>
        <w:t>ho</w:t>
      </w:r>
      <w:r w:rsidR="002F261B" w:rsidRPr="009D0DFE">
        <w:rPr>
          <w:rFonts w:cstheme="minorHAnsi"/>
          <w:sz w:val="24"/>
          <w:szCs w:val="24"/>
        </w:rPr>
        <w:t xml:space="preserve"> technologické</w:t>
      </w:r>
      <w:r w:rsidRPr="009D0DFE">
        <w:rPr>
          <w:rFonts w:cstheme="minorHAnsi"/>
          <w:sz w:val="24"/>
          <w:szCs w:val="24"/>
        </w:rPr>
        <w:t xml:space="preserve">ho prostředí, budou existovat </w:t>
      </w:r>
      <w:r w:rsidR="002F261B" w:rsidRPr="009D0DFE">
        <w:rPr>
          <w:rFonts w:cstheme="minorHAnsi"/>
          <w:sz w:val="24"/>
          <w:szCs w:val="24"/>
        </w:rPr>
        <w:t>inteligentní vozidla bez řidiče. Výzva spočívá v složitosti dopravy, kt</w:t>
      </w:r>
      <w:r w:rsidRPr="009D0DFE">
        <w:rPr>
          <w:rFonts w:cstheme="minorHAnsi"/>
          <w:sz w:val="24"/>
          <w:szCs w:val="24"/>
        </w:rPr>
        <w:t xml:space="preserve">erá se pohybuje od komunikace </w:t>
      </w:r>
      <w:r w:rsidR="002F261B" w:rsidRPr="009D0DFE">
        <w:rPr>
          <w:rFonts w:cstheme="minorHAnsi"/>
          <w:sz w:val="24"/>
          <w:szCs w:val="24"/>
        </w:rPr>
        <w:t>mezi vozidly, přes sledování dopravních značek, chodců, cyklistů až po řízení vozidel v křivolakých uličkách a kruhových objezd</w:t>
      </w:r>
      <w:r w:rsidRPr="009D0DFE">
        <w:rPr>
          <w:rFonts w:cstheme="minorHAnsi"/>
          <w:sz w:val="24"/>
          <w:szCs w:val="24"/>
        </w:rPr>
        <w:t>e</w:t>
      </w:r>
      <w:r w:rsidR="002F261B" w:rsidRPr="009D0DFE">
        <w:rPr>
          <w:rFonts w:cstheme="minorHAnsi"/>
          <w:sz w:val="24"/>
          <w:szCs w:val="24"/>
        </w:rPr>
        <w:t xml:space="preserve">ch. </w:t>
      </w:r>
      <w:r w:rsidRPr="009D0DFE">
        <w:rPr>
          <w:rFonts w:cstheme="minorHAnsi"/>
          <w:sz w:val="24"/>
          <w:szCs w:val="24"/>
        </w:rPr>
        <w:t>Specifickým prvkem mohou být různé postoje států a samospráv k rozvoji autonomní dopravy, které mohou vytvořit různé legislativní prostředí, umožňující povolení pouze některé z uvedených fází.</w:t>
      </w:r>
    </w:p>
    <w:p w:rsidR="001A5871" w:rsidRPr="009D0DFE" w:rsidRDefault="001A5871" w:rsidP="009D0DFE">
      <w:pPr>
        <w:spacing w:after="120"/>
        <w:jc w:val="both"/>
        <w:rPr>
          <w:rFonts w:cstheme="minorHAnsi"/>
          <w:sz w:val="24"/>
          <w:szCs w:val="24"/>
        </w:rPr>
      </w:pPr>
    </w:p>
    <w:p w:rsidR="001A5871" w:rsidRPr="009D0DFE" w:rsidRDefault="001A5871" w:rsidP="009D0DFE">
      <w:pPr>
        <w:pStyle w:val="Odstavecseseznamem"/>
        <w:numPr>
          <w:ilvl w:val="0"/>
          <w:numId w:val="2"/>
        </w:numPr>
        <w:spacing w:after="120"/>
        <w:ind w:left="0" w:firstLine="0"/>
        <w:jc w:val="both"/>
        <w:rPr>
          <w:rFonts w:eastAsia="Times New Roman" w:cstheme="minorHAnsi"/>
          <w:b/>
          <w:sz w:val="24"/>
          <w:szCs w:val="24"/>
          <w:lang w:eastAsia="cs-CZ"/>
        </w:rPr>
      </w:pPr>
      <w:r w:rsidRPr="009D0DFE">
        <w:rPr>
          <w:rFonts w:eastAsia="Times New Roman" w:cstheme="minorHAnsi"/>
          <w:b/>
          <w:sz w:val="24"/>
          <w:szCs w:val="24"/>
          <w:lang w:eastAsia="cs-CZ"/>
        </w:rPr>
        <w:t>Doporučení</w:t>
      </w:r>
    </w:p>
    <w:p w:rsidR="000E28B8" w:rsidRPr="009D0DFE" w:rsidRDefault="001A5871" w:rsidP="009D0DFE">
      <w:pPr>
        <w:spacing w:after="120"/>
        <w:jc w:val="both"/>
        <w:rPr>
          <w:rFonts w:eastAsia="Times New Roman" w:cstheme="minorHAnsi"/>
          <w:sz w:val="24"/>
          <w:szCs w:val="24"/>
          <w:lang w:eastAsia="cs-CZ"/>
        </w:rPr>
      </w:pPr>
      <w:r w:rsidRPr="009D0DFE">
        <w:rPr>
          <w:rFonts w:eastAsia="Times New Roman" w:cstheme="minorHAnsi"/>
          <w:sz w:val="24"/>
          <w:szCs w:val="24"/>
          <w:lang w:eastAsia="cs-CZ"/>
        </w:rPr>
        <w:t xml:space="preserve">Na základě </w:t>
      </w:r>
      <w:r w:rsidR="000E28B8" w:rsidRPr="009D0DFE">
        <w:rPr>
          <w:rFonts w:eastAsia="Times New Roman" w:cstheme="minorHAnsi"/>
          <w:sz w:val="24"/>
          <w:szCs w:val="24"/>
          <w:lang w:eastAsia="cs-CZ"/>
        </w:rPr>
        <w:t xml:space="preserve">současného stavu a vývoje autonomní mobility </w:t>
      </w:r>
      <w:r w:rsidRPr="009D0DFE">
        <w:rPr>
          <w:rFonts w:eastAsia="Times New Roman" w:cstheme="minorHAnsi"/>
          <w:sz w:val="24"/>
          <w:szCs w:val="24"/>
          <w:lang w:eastAsia="cs-CZ"/>
        </w:rPr>
        <w:t xml:space="preserve">lze doporučit, jaká opatření v oblasti výzkumu a inovací a výzkumu a vývoje je třeba přijmout, </w:t>
      </w:r>
      <w:r w:rsidR="000E28B8" w:rsidRPr="009D0DFE">
        <w:rPr>
          <w:rFonts w:eastAsia="Times New Roman" w:cstheme="minorHAnsi"/>
          <w:sz w:val="24"/>
          <w:szCs w:val="24"/>
          <w:lang w:eastAsia="cs-CZ"/>
        </w:rPr>
        <w:t>aby bylo</w:t>
      </w:r>
      <w:r w:rsidRPr="009D0DFE">
        <w:rPr>
          <w:rFonts w:eastAsia="Times New Roman" w:cstheme="minorHAnsi"/>
          <w:sz w:val="24"/>
          <w:szCs w:val="24"/>
          <w:lang w:eastAsia="cs-CZ"/>
        </w:rPr>
        <w:t xml:space="preserve"> dosaženo vyšší úrovně automatizované jízdy</w:t>
      </w:r>
      <w:r w:rsidR="000E28B8" w:rsidRPr="009D0DFE">
        <w:rPr>
          <w:rFonts w:eastAsia="Times New Roman" w:cstheme="minorHAnsi"/>
          <w:sz w:val="24"/>
          <w:szCs w:val="24"/>
          <w:lang w:eastAsia="cs-CZ"/>
        </w:rPr>
        <w:t>.</w:t>
      </w:r>
      <w:r w:rsidRPr="009D0DFE">
        <w:rPr>
          <w:rFonts w:eastAsia="Times New Roman" w:cstheme="minorHAnsi"/>
          <w:sz w:val="24"/>
          <w:szCs w:val="24"/>
          <w:lang w:eastAsia="cs-CZ"/>
        </w:rPr>
        <w:t xml:space="preserve"> V krátkodobém až střednědobém horizontu lze tyto doporučení shrnout následovně</w:t>
      </w:r>
      <w:r w:rsidR="000E28B8" w:rsidRPr="009D0DFE">
        <w:rPr>
          <w:rFonts w:eastAsia="Times New Roman" w:cstheme="minorHAnsi"/>
          <w:sz w:val="24"/>
          <w:szCs w:val="24"/>
          <w:lang w:eastAsia="cs-CZ"/>
        </w:rPr>
        <w:t>:</w:t>
      </w:r>
    </w:p>
    <w:p w:rsidR="001A5871" w:rsidRPr="009D0DFE" w:rsidRDefault="001A5871" w:rsidP="009D0DFE">
      <w:pPr>
        <w:spacing w:after="120"/>
        <w:jc w:val="both"/>
        <w:rPr>
          <w:rFonts w:eastAsia="Times New Roman" w:cstheme="minorHAnsi"/>
          <w:sz w:val="24"/>
          <w:szCs w:val="24"/>
          <w:lang w:eastAsia="cs-CZ"/>
        </w:rPr>
      </w:pPr>
      <w:r w:rsidRPr="009D0DFE">
        <w:rPr>
          <w:rFonts w:eastAsia="Times New Roman" w:cstheme="minorHAnsi"/>
          <w:sz w:val="24"/>
          <w:szCs w:val="24"/>
          <w:lang w:eastAsia="cs-CZ"/>
        </w:rPr>
        <w:t xml:space="preserve">Je zapotřebí další </w:t>
      </w:r>
      <w:r w:rsidR="004B2164" w:rsidRPr="009D0DFE">
        <w:rPr>
          <w:rFonts w:eastAsia="Times New Roman" w:cstheme="minorHAnsi"/>
          <w:sz w:val="24"/>
          <w:szCs w:val="24"/>
          <w:lang w:eastAsia="cs-CZ"/>
        </w:rPr>
        <w:t xml:space="preserve">podpořit </w:t>
      </w:r>
      <w:r w:rsidRPr="009D0DFE">
        <w:rPr>
          <w:rFonts w:eastAsia="Times New Roman" w:cstheme="minorHAnsi"/>
          <w:sz w:val="24"/>
          <w:szCs w:val="24"/>
          <w:lang w:eastAsia="cs-CZ"/>
        </w:rPr>
        <w:t>technologický pokrok v inteligentních systémech pro automatizovanou jízdu, který by měl být financován</w:t>
      </w:r>
      <w:r w:rsidR="004B2164" w:rsidRPr="009D0DFE">
        <w:rPr>
          <w:rFonts w:eastAsia="Times New Roman" w:cstheme="minorHAnsi"/>
          <w:sz w:val="24"/>
          <w:szCs w:val="24"/>
          <w:lang w:eastAsia="cs-CZ"/>
        </w:rPr>
        <w:t xml:space="preserve"> prostřednictvím</w:t>
      </w:r>
      <w:r w:rsidRPr="009D0DFE">
        <w:rPr>
          <w:rFonts w:eastAsia="Times New Roman" w:cstheme="minorHAnsi"/>
          <w:sz w:val="24"/>
          <w:szCs w:val="24"/>
          <w:lang w:eastAsia="cs-CZ"/>
        </w:rPr>
        <w:t xml:space="preserve"> průmyslových a akademických proj</w:t>
      </w:r>
      <w:r w:rsidR="004B2164" w:rsidRPr="009D0DFE">
        <w:rPr>
          <w:rFonts w:eastAsia="Times New Roman" w:cstheme="minorHAnsi"/>
          <w:sz w:val="24"/>
          <w:szCs w:val="24"/>
          <w:lang w:eastAsia="cs-CZ"/>
        </w:rPr>
        <w:t xml:space="preserve">ektů v oblasti výzkumu a vývoje, např. </w:t>
      </w:r>
      <w:r w:rsidRPr="009D0DFE">
        <w:rPr>
          <w:rFonts w:eastAsia="Times New Roman" w:cstheme="minorHAnsi"/>
          <w:sz w:val="24"/>
          <w:szCs w:val="24"/>
          <w:lang w:eastAsia="cs-CZ"/>
        </w:rPr>
        <w:t>v rámci programu Horizont 2020. To se týká zejména technologií umožňujících vyšší stupně automatizované jízdy</w:t>
      </w:r>
      <w:r w:rsidR="000E28B8" w:rsidRPr="009D0DFE">
        <w:rPr>
          <w:rFonts w:eastAsia="Times New Roman" w:cstheme="minorHAnsi"/>
          <w:sz w:val="24"/>
          <w:szCs w:val="24"/>
          <w:lang w:eastAsia="cs-CZ"/>
        </w:rPr>
        <w:t xml:space="preserve"> se zajištěním </w:t>
      </w:r>
      <w:r w:rsidR="000E28B8" w:rsidRPr="009D0DFE">
        <w:rPr>
          <w:rFonts w:eastAsia="Times New Roman" w:cstheme="minorHAnsi"/>
          <w:sz w:val="24"/>
          <w:szCs w:val="24"/>
          <w:lang w:eastAsia="cs-CZ"/>
        </w:rPr>
        <w:lastRenderedPageBreak/>
        <w:t>f</w:t>
      </w:r>
      <w:r w:rsidRPr="009D0DFE">
        <w:rPr>
          <w:rFonts w:eastAsia="Times New Roman" w:cstheme="minorHAnsi"/>
          <w:sz w:val="24"/>
          <w:szCs w:val="24"/>
          <w:lang w:eastAsia="cs-CZ"/>
        </w:rPr>
        <w:t>unkční bezpečnost</w:t>
      </w:r>
      <w:r w:rsidR="000E28B8" w:rsidRPr="009D0DFE">
        <w:rPr>
          <w:rFonts w:eastAsia="Times New Roman" w:cstheme="minorHAnsi"/>
          <w:sz w:val="24"/>
          <w:szCs w:val="24"/>
          <w:lang w:eastAsia="cs-CZ"/>
        </w:rPr>
        <w:t>i</w:t>
      </w:r>
      <w:r w:rsidRPr="009D0DFE">
        <w:rPr>
          <w:rFonts w:eastAsia="Times New Roman" w:cstheme="minorHAnsi"/>
          <w:sz w:val="24"/>
          <w:szCs w:val="24"/>
          <w:lang w:eastAsia="cs-CZ"/>
        </w:rPr>
        <w:t xml:space="preserve"> a spolehlivost</w:t>
      </w:r>
      <w:r w:rsidR="000E28B8" w:rsidRPr="009D0DFE">
        <w:rPr>
          <w:rFonts w:eastAsia="Times New Roman" w:cstheme="minorHAnsi"/>
          <w:sz w:val="24"/>
          <w:szCs w:val="24"/>
          <w:lang w:eastAsia="cs-CZ"/>
        </w:rPr>
        <w:t>i</w:t>
      </w:r>
      <w:r w:rsidRPr="009D0DFE">
        <w:rPr>
          <w:rFonts w:eastAsia="Times New Roman" w:cstheme="minorHAnsi"/>
          <w:sz w:val="24"/>
          <w:szCs w:val="24"/>
          <w:lang w:eastAsia="cs-CZ"/>
        </w:rPr>
        <w:t xml:space="preserve"> a bezpečn</w:t>
      </w:r>
      <w:r w:rsidR="000E28B8" w:rsidRPr="009D0DFE">
        <w:rPr>
          <w:rFonts w:eastAsia="Times New Roman" w:cstheme="minorHAnsi"/>
          <w:sz w:val="24"/>
          <w:szCs w:val="24"/>
          <w:lang w:eastAsia="cs-CZ"/>
        </w:rPr>
        <w:t>é</w:t>
      </w:r>
      <w:r w:rsidRPr="009D0DFE">
        <w:rPr>
          <w:rFonts w:eastAsia="Times New Roman" w:cstheme="minorHAnsi"/>
          <w:sz w:val="24"/>
          <w:szCs w:val="24"/>
          <w:lang w:eastAsia="cs-CZ"/>
        </w:rPr>
        <w:t xml:space="preserve"> datov</w:t>
      </w:r>
      <w:r w:rsidR="000E28B8" w:rsidRPr="009D0DFE">
        <w:rPr>
          <w:rFonts w:eastAsia="Times New Roman" w:cstheme="minorHAnsi"/>
          <w:sz w:val="24"/>
          <w:szCs w:val="24"/>
          <w:lang w:eastAsia="cs-CZ"/>
        </w:rPr>
        <w:t>é</w:t>
      </w:r>
      <w:r w:rsidRPr="009D0DFE">
        <w:rPr>
          <w:rFonts w:eastAsia="Times New Roman" w:cstheme="minorHAnsi"/>
          <w:sz w:val="24"/>
          <w:szCs w:val="24"/>
          <w:lang w:eastAsia="cs-CZ"/>
        </w:rPr>
        <w:t xml:space="preserve"> komunikaci. Tento pokrok nakonec povede k dostupnějším automatizovaným vozidlům, čímž se urychlí </w:t>
      </w:r>
      <w:r w:rsidR="000E28B8" w:rsidRPr="009D0DFE">
        <w:rPr>
          <w:rFonts w:eastAsia="Times New Roman" w:cstheme="minorHAnsi"/>
          <w:sz w:val="24"/>
          <w:szCs w:val="24"/>
          <w:lang w:eastAsia="cs-CZ"/>
        </w:rPr>
        <w:t>rozvoj</w:t>
      </w:r>
      <w:r w:rsidRPr="009D0DFE">
        <w:rPr>
          <w:rFonts w:eastAsia="Times New Roman" w:cstheme="minorHAnsi"/>
          <w:sz w:val="24"/>
          <w:szCs w:val="24"/>
          <w:lang w:eastAsia="cs-CZ"/>
        </w:rPr>
        <w:t xml:space="preserve"> trh</w:t>
      </w:r>
      <w:r w:rsidR="000E28B8" w:rsidRPr="009D0DFE">
        <w:rPr>
          <w:rFonts w:eastAsia="Times New Roman" w:cstheme="minorHAnsi"/>
          <w:sz w:val="24"/>
          <w:szCs w:val="24"/>
          <w:lang w:eastAsia="cs-CZ"/>
        </w:rPr>
        <w:t>u</w:t>
      </w:r>
      <w:r w:rsidRPr="009D0DFE">
        <w:rPr>
          <w:rFonts w:eastAsia="Times New Roman" w:cstheme="minorHAnsi"/>
          <w:sz w:val="24"/>
          <w:szCs w:val="24"/>
          <w:lang w:eastAsia="cs-CZ"/>
        </w:rPr>
        <w:t xml:space="preserve"> a posílí se vedoucí pozice Evropy v automobilovém průmyslu. Zvláště pro revoluční scénáře vysoce automatizovaného řízení ve městech a plné autonomní řízení, lepší propojení vozidel a jejich začlenění do internetu věcí bude vyžadovat rozsáhlé akce.</w:t>
      </w:r>
    </w:p>
    <w:p w:rsidR="000E28B8" w:rsidRPr="009D0DFE" w:rsidRDefault="000E28B8" w:rsidP="009D0DFE">
      <w:pPr>
        <w:spacing w:after="120"/>
        <w:jc w:val="both"/>
        <w:rPr>
          <w:rFonts w:cstheme="minorHAnsi"/>
          <w:sz w:val="24"/>
          <w:szCs w:val="24"/>
        </w:rPr>
      </w:pPr>
      <w:r w:rsidRPr="009D0DFE">
        <w:rPr>
          <w:rFonts w:cstheme="minorHAnsi"/>
          <w:sz w:val="24"/>
          <w:szCs w:val="24"/>
        </w:rPr>
        <w:t xml:space="preserve">Důležitou překážkou, kterou je třeba překonat, je nedostatek vhodného právního rámce pro testování a používání vyšších stupňů automatizované jízdy v Evropě. Zaprvé se jedná o rychlé přijetí upravené Vídeňské úmluvy do vnitrostátní praxe, která by umožnila udržet krok s konkurenčními státy a regiony. Harmonizace právních předpisů a inteligentních řešení, jako je pojišťovací fond, má tedy velký význam pro přijetí automatizované jízdy obecně a zejména pro autonomní vozidla. </w:t>
      </w:r>
    </w:p>
    <w:p w:rsidR="000E28B8" w:rsidRPr="009D0DFE" w:rsidRDefault="000E28B8" w:rsidP="009D0DFE">
      <w:pPr>
        <w:spacing w:after="120"/>
        <w:jc w:val="both"/>
        <w:rPr>
          <w:rFonts w:cstheme="minorHAnsi"/>
          <w:sz w:val="24"/>
          <w:szCs w:val="24"/>
        </w:rPr>
      </w:pPr>
      <w:r w:rsidRPr="009D0DFE">
        <w:rPr>
          <w:rFonts w:cstheme="minorHAnsi"/>
          <w:sz w:val="24"/>
          <w:szCs w:val="24"/>
        </w:rPr>
        <w:t>Vyžaduje vytvoření testovacích systémů pro validaci komplexního AD systému v simulovaném prostředí. Všechny důležité bezpečnostní kritické situace musí být testovány co nejrychleji. Rovněž musí být zohledněn vliv různých snímačů a pohonů, různých podmínek na silnicích, různých dopravních partnerů nebo provádění nových koncepcí AD.</w:t>
      </w:r>
    </w:p>
    <w:p w:rsidR="000E28B8" w:rsidRPr="009D0DFE" w:rsidRDefault="000E28B8" w:rsidP="009D0DFE">
      <w:pPr>
        <w:spacing w:after="120"/>
        <w:jc w:val="both"/>
        <w:rPr>
          <w:rFonts w:cstheme="minorHAnsi"/>
          <w:sz w:val="24"/>
          <w:szCs w:val="24"/>
        </w:rPr>
      </w:pPr>
      <w:r w:rsidRPr="009D0DFE">
        <w:rPr>
          <w:rFonts w:cstheme="minorHAnsi"/>
          <w:sz w:val="24"/>
          <w:szCs w:val="24"/>
        </w:rPr>
        <w:t xml:space="preserve">Provozní testy v terénu mají velký význam zejména pro předvedení bezpečnosti, bezpečnosti a spolehlivosti vysoce automatizované jízdy na úrovních 3 a 4 SAE. Šíření osvědčených postupů pro provádění automatizované jízdy je doporučeno pro prokázání jeho společenských, ekonomických a ekologických přínosů. Takové akce by měly silný dopad na podporu jedinečné prodejní nabídky automatizovaných vozidel vyrobených v Evropě. </w:t>
      </w:r>
    </w:p>
    <w:p w:rsidR="000E28B8" w:rsidRPr="009D0DFE" w:rsidRDefault="000E28B8" w:rsidP="009D0DFE">
      <w:pPr>
        <w:spacing w:after="120"/>
        <w:jc w:val="both"/>
        <w:rPr>
          <w:rFonts w:eastAsia="Times New Roman" w:cstheme="minorHAnsi"/>
          <w:sz w:val="24"/>
          <w:szCs w:val="24"/>
          <w:lang w:eastAsia="cs-CZ"/>
        </w:rPr>
      </w:pPr>
      <w:r w:rsidRPr="009D0DFE">
        <w:rPr>
          <w:rFonts w:eastAsia="Times New Roman" w:cstheme="minorHAnsi"/>
          <w:sz w:val="24"/>
          <w:szCs w:val="24"/>
          <w:lang w:eastAsia="cs-CZ"/>
        </w:rPr>
        <w:t xml:space="preserve">Jednotliví aktéři, tzn. podniky, poskytovatelé infrastruktury, poskytovatelé infrastruktury, akademická obec a veřejné orgány měly spojit své úsilí v konkrétních partnerstvích veřejného a soukromého sektoru a společných programech horizontálně pokrývajících všechny aspekty automatizovaného řízení, včetně vyhledávání a inovace. Existuje značná potřeba vytvářet synergie mezi zúčastněnými odvětvími (tj. výrobci automobilů, energetiky, komunikační služby a poskytovatelé dopravy, odvětví dopravy, IT a inteligentních systémů, stejně jako uživatelé), které se sdružují v nových hodnotových řetězcích pro </w:t>
      </w:r>
      <w:proofErr w:type="gramStart"/>
      <w:r w:rsidRPr="009D0DFE">
        <w:rPr>
          <w:rFonts w:eastAsia="Times New Roman" w:cstheme="minorHAnsi"/>
          <w:sz w:val="24"/>
          <w:szCs w:val="24"/>
          <w:lang w:eastAsia="cs-CZ"/>
        </w:rPr>
        <w:t>auto- vozidel</w:t>
      </w:r>
      <w:proofErr w:type="gramEnd"/>
      <w:r w:rsidRPr="009D0DFE">
        <w:rPr>
          <w:rFonts w:eastAsia="Times New Roman" w:cstheme="minorHAnsi"/>
          <w:sz w:val="24"/>
          <w:szCs w:val="24"/>
          <w:lang w:eastAsia="cs-CZ"/>
        </w:rPr>
        <w:t xml:space="preserve">. </w:t>
      </w:r>
    </w:p>
    <w:p w:rsidR="009D0DFE" w:rsidRDefault="009D0DFE" w:rsidP="009D0DFE">
      <w:pPr>
        <w:spacing w:after="120"/>
        <w:jc w:val="both"/>
        <w:rPr>
          <w:rFonts w:cstheme="minorHAnsi"/>
          <w:sz w:val="24"/>
          <w:szCs w:val="24"/>
        </w:rPr>
      </w:pPr>
    </w:p>
    <w:p w:rsidR="009D0DFE" w:rsidRPr="009D0DFE" w:rsidRDefault="009D0DFE" w:rsidP="009D0DFE">
      <w:pPr>
        <w:spacing w:after="120"/>
        <w:jc w:val="both"/>
        <w:rPr>
          <w:rFonts w:cstheme="minorHAnsi"/>
          <w:b/>
          <w:sz w:val="24"/>
          <w:szCs w:val="24"/>
        </w:rPr>
      </w:pPr>
      <w:r w:rsidRPr="009D0DFE">
        <w:rPr>
          <w:rFonts w:cstheme="minorHAnsi"/>
          <w:b/>
          <w:sz w:val="24"/>
          <w:szCs w:val="24"/>
        </w:rPr>
        <w:t>Zdroj</w:t>
      </w:r>
    </w:p>
    <w:p w:rsidR="009D0DFE" w:rsidRDefault="009D0DFE" w:rsidP="009D0DFE">
      <w:pPr>
        <w:jc w:val="both"/>
      </w:pPr>
      <w:proofErr w:type="spellStart"/>
      <w:r>
        <w:rPr>
          <w:rFonts w:ascii="Helvetica" w:eastAsia="Times New Roman" w:hAnsi="Helvetica" w:cs="Times New Roman"/>
          <w:sz w:val="20"/>
          <w:szCs w:val="20"/>
        </w:rPr>
        <w:t>Dokic</w:t>
      </w:r>
      <w:proofErr w:type="spellEnd"/>
      <w:r>
        <w:rPr>
          <w:rFonts w:ascii="Helvetica" w:eastAsia="Times New Roman" w:hAnsi="Helvetica" w:cs="Times New Roman"/>
          <w:sz w:val="20"/>
          <w:szCs w:val="20"/>
        </w:rPr>
        <w:t xml:space="preserve">, J., Müller, B., &amp; </w:t>
      </w:r>
      <w:proofErr w:type="spellStart"/>
      <w:r>
        <w:rPr>
          <w:rFonts w:ascii="Helvetica" w:eastAsia="Times New Roman" w:hAnsi="Helvetica" w:cs="Times New Roman"/>
          <w:sz w:val="20"/>
          <w:szCs w:val="20"/>
        </w:rPr>
        <w:t>Meyer</w:t>
      </w:r>
      <w:proofErr w:type="spellEnd"/>
      <w:r>
        <w:rPr>
          <w:rFonts w:ascii="Helvetica" w:eastAsia="Times New Roman" w:hAnsi="Helvetica" w:cs="Times New Roman"/>
          <w:sz w:val="20"/>
          <w:szCs w:val="20"/>
        </w:rPr>
        <w:t xml:space="preserve">, </w:t>
      </w:r>
      <w:proofErr w:type="gramStart"/>
      <w:r>
        <w:rPr>
          <w:rFonts w:ascii="Helvetica" w:eastAsia="Times New Roman" w:hAnsi="Helvetica" w:cs="Times New Roman"/>
          <w:sz w:val="20"/>
          <w:szCs w:val="20"/>
        </w:rPr>
        <w:t>G.(</w:t>
      </w:r>
      <w:proofErr w:type="gramEnd"/>
      <w:r>
        <w:rPr>
          <w:rFonts w:ascii="Helvetica" w:eastAsia="Times New Roman" w:hAnsi="Helvetica" w:cs="Times New Roman"/>
          <w:sz w:val="20"/>
          <w:szCs w:val="20"/>
        </w:rPr>
        <w:t>2015). </w:t>
      </w:r>
      <w:proofErr w:type="spellStart"/>
      <w:r>
        <w:rPr>
          <w:rStyle w:val="groupwisereplyheader"/>
          <w:rFonts w:ascii="Helvetica" w:eastAsia="Times New Roman" w:hAnsi="Helvetica" w:cs="Times New Roman"/>
          <w:i/>
          <w:iCs/>
          <w:sz w:val="20"/>
          <w:szCs w:val="20"/>
        </w:rPr>
        <w:t>European</w:t>
      </w:r>
      <w:proofErr w:type="spellEnd"/>
      <w:r>
        <w:rPr>
          <w:rStyle w:val="groupwisereplyheader"/>
          <w:rFonts w:ascii="Helvetica" w:eastAsia="Times New Roman" w:hAnsi="Helvetica" w:cs="Times New Roman"/>
          <w:i/>
          <w:iCs/>
          <w:sz w:val="20"/>
          <w:szCs w:val="20"/>
        </w:rPr>
        <w:t xml:space="preserve"> </w:t>
      </w:r>
      <w:proofErr w:type="spellStart"/>
      <w:r>
        <w:rPr>
          <w:rStyle w:val="groupwisereplyheader"/>
          <w:rFonts w:ascii="Helvetica" w:eastAsia="Times New Roman" w:hAnsi="Helvetica" w:cs="Times New Roman"/>
          <w:i/>
          <w:iCs/>
          <w:sz w:val="20"/>
          <w:szCs w:val="20"/>
        </w:rPr>
        <w:t>Roadmap</w:t>
      </w:r>
      <w:proofErr w:type="spellEnd"/>
      <w:r>
        <w:rPr>
          <w:rStyle w:val="groupwisereplyheader"/>
          <w:rFonts w:ascii="Helvetica" w:eastAsia="Times New Roman" w:hAnsi="Helvetica" w:cs="Times New Roman"/>
          <w:i/>
          <w:iCs/>
          <w:sz w:val="20"/>
          <w:szCs w:val="20"/>
        </w:rPr>
        <w:t xml:space="preserve"> Smart Systems </w:t>
      </w:r>
      <w:proofErr w:type="spellStart"/>
      <w:r>
        <w:rPr>
          <w:rStyle w:val="groupwisereplyheader"/>
          <w:rFonts w:ascii="Helvetica" w:eastAsia="Times New Roman" w:hAnsi="Helvetica" w:cs="Times New Roman"/>
          <w:i/>
          <w:iCs/>
          <w:sz w:val="20"/>
          <w:szCs w:val="20"/>
        </w:rPr>
        <w:t>for</w:t>
      </w:r>
      <w:proofErr w:type="spellEnd"/>
      <w:r>
        <w:rPr>
          <w:rStyle w:val="groupwisereplyheader"/>
          <w:rFonts w:ascii="Helvetica" w:eastAsia="Times New Roman" w:hAnsi="Helvetica" w:cs="Times New Roman"/>
          <w:i/>
          <w:iCs/>
          <w:sz w:val="20"/>
          <w:szCs w:val="20"/>
        </w:rPr>
        <w:t xml:space="preserve"> </w:t>
      </w:r>
      <w:proofErr w:type="spellStart"/>
      <w:r>
        <w:rPr>
          <w:rStyle w:val="groupwisereplyheader"/>
          <w:rFonts w:ascii="Helvetica" w:eastAsia="Times New Roman" w:hAnsi="Helvetica" w:cs="Times New Roman"/>
          <w:i/>
          <w:iCs/>
          <w:sz w:val="20"/>
          <w:szCs w:val="20"/>
        </w:rPr>
        <w:t>Automated</w:t>
      </w:r>
      <w:proofErr w:type="spellEnd"/>
      <w:r>
        <w:rPr>
          <w:rStyle w:val="groupwisereplyheader"/>
          <w:rFonts w:ascii="Helvetica" w:eastAsia="Times New Roman" w:hAnsi="Helvetica" w:cs="Times New Roman"/>
          <w:i/>
          <w:iCs/>
          <w:sz w:val="20"/>
          <w:szCs w:val="20"/>
        </w:rPr>
        <w:t xml:space="preserve"> </w:t>
      </w:r>
      <w:proofErr w:type="spellStart"/>
      <w:r>
        <w:rPr>
          <w:rStyle w:val="groupwisereplyheader"/>
          <w:rFonts w:ascii="Helvetica" w:eastAsia="Times New Roman" w:hAnsi="Helvetica" w:cs="Times New Roman"/>
          <w:i/>
          <w:iCs/>
          <w:sz w:val="20"/>
          <w:szCs w:val="20"/>
        </w:rPr>
        <w:t>Driving</w:t>
      </w:r>
      <w:proofErr w:type="spellEnd"/>
      <w:r>
        <w:rPr>
          <w:rStyle w:val="groupwisereplyheader"/>
          <w:rFonts w:ascii="Helvetica" w:eastAsia="Times New Roman" w:hAnsi="Helvetica" w:cs="Times New Roman"/>
          <w:i/>
          <w:iCs/>
          <w:sz w:val="20"/>
          <w:szCs w:val="20"/>
        </w:rPr>
        <w:t>.</w:t>
      </w:r>
      <w:r>
        <w:rPr>
          <w:rStyle w:val="groupwisereplyheader"/>
          <w:rFonts w:ascii="Helvetica" w:eastAsia="Times New Roman" w:hAnsi="Helvetica" w:cs="Times New Roman"/>
          <w:sz w:val="20"/>
          <w:szCs w:val="20"/>
        </w:rPr>
        <w:t> </w:t>
      </w:r>
      <w:proofErr w:type="spellStart"/>
      <w:r>
        <w:rPr>
          <w:rStyle w:val="groupwisereplyheader"/>
          <w:rFonts w:ascii="Helvetica" w:eastAsia="Times New Roman" w:hAnsi="Helvetica" w:cs="Times New Roman"/>
          <w:sz w:val="20"/>
          <w:szCs w:val="20"/>
        </w:rPr>
        <w:t>Berlin</w:t>
      </w:r>
      <w:proofErr w:type="spellEnd"/>
      <w:r>
        <w:rPr>
          <w:rStyle w:val="groupwisereplyheader"/>
          <w:rFonts w:ascii="Helvetica" w:eastAsia="Times New Roman" w:hAnsi="Helvetica" w:cs="Times New Roman"/>
          <w:sz w:val="20"/>
          <w:szCs w:val="20"/>
        </w:rPr>
        <w:t xml:space="preserve">: </w:t>
      </w:r>
      <w:proofErr w:type="gramStart"/>
      <w:r>
        <w:rPr>
          <w:rStyle w:val="groupwisereplyheader"/>
          <w:rFonts w:ascii="Helvetica" w:eastAsia="Times New Roman" w:hAnsi="Helvetica" w:cs="Times New Roman"/>
          <w:sz w:val="20"/>
          <w:szCs w:val="20"/>
        </w:rPr>
        <w:t>Germany,  </w:t>
      </w:r>
      <w:proofErr w:type="spellStart"/>
      <w:r>
        <w:rPr>
          <w:rStyle w:val="groupwisereplyheader"/>
          <w:rFonts w:ascii="Helvetica" w:eastAsia="Times New Roman" w:hAnsi="Helvetica" w:cs="Times New Roman"/>
          <w:sz w:val="20"/>
          <w:szCs w:val="20"/>
        </w:rPr>
        <w:t>European</w:t>
      </w:r>
      <w:proofErr w:type="spellEnd"/>
      <w:proofErr w:type="gramEnd"/>
      <w:r>
        <w:rPr>
          <w:rStyle w:val="groupwisereplyheader"/>
          <w:rFonts w:ascii="Helvetica" w:eastAsia="Times New Roman" w:hAnsi="Helvetica" w:cs="Times New Roman"/>
          <w:sz w:val="20"/>
          <w:szCs w:val="20"/>
        </w:rPr>
        <w:t xml:space="preserve"> Technology </w:t>
      </w:r>
      <w:proofErr w:type="spellStart"/>
      <w:r>
        <w:rPr>
          <w:rStyle w:val="groupwisereplyheader"/>
          <w:rFonts w:ascii="Helvetica" w:eastAsia="Times New Roman" w:hAnsi="Helvetica" w:cs="Times New Roman"/>
          <w:sz w:val="20"/>
          <w:szCs w:val="20"/>
        </w:rPr>
        <w:t>Platform</w:t>
      </w:r>
      <w:proofErr w:type="spellEnd"/>
      <w:r>
        <w:rPr>
          <w:rStyle w:val="groupwisereplyheader"/>
          <w:rFonts w:ascii="Helvetica" w:eastAsia="Times New Roman" w:hAnsi="Helvetica" w:cs="Times New Roman"/>
          <w:sz w:val="20"/>
          <w:szCs w:val="20"/>
        </w:rPr>
        <w:t xml:space="preserve"> on Smart </w:t>
      </w:r>
      <w:proofErr w:type="spellStart"/>
      <w:r>
        <w:rPr>
          <w:rStyle w:val="groupwisereplyheader"/>
          <w:rFonts w:ascii="Helvetica" w:eastAsia="Times New Roman" w:hAnsi="Helvetica" w:cs="Times New Roman"/>
          <w:sz w:val="20"/>
          <w:szCs w:val="20"/>
        </w:rPr>
        <w:t>System</w:t>
      </w:r>
      <w:proofErr w:type="spellEnd"/>
      <w:r>
        <w:rPr>
          <w:rStyle w:val="groupwisereplyheader"/>
          <w:rFonts w:ascii="Helvetica" w:eastAsia="Times New Roman" w:hAnsi="Helvetica" w:cs="Times New Roman"/>
          <w:sz w:val="20"/>
          <w:szCs w:val="20"/>
        </w:rPr>
        <w:t xml:space="preserve"> </w:t>
      </w:r>
      <w:proofErr w:type="spellStart"/>
      <w:r>
        <w:rPr>
          <w:rStyle w:val="groupwisereplyheader"/>
          <w:rFonts w:ascii="Helvetica" w:eastAsia="Times New Roman" w:hAnsi="Helvetica" w:cs="Times New Roman"/>
          <w:sz w:val="20"/>
          <w:szCs w:val="20"/>
        </w:rPr>
        <w:t>Integration</w:t>
      </w:r>
      <w:proofErr w:type="spellEnd"/>
      <w:r>
        <w:rPr>
          <w:rStyle w:val="groupwisereplyheader"/>
          <w:rFonts w:ascii="Helvetica" w:eastAsia="Times New Roman" w:hAnsi="Helvetica" w:cs="Times New Roman"/>
          <w:sz w:val="20"/>
          <w:szCs w:val="20"/>
        </w:rPr>
        <w:t xml:space="preserve">. Dostupné z databáze </w:t>
      </w:r>
      <w:proofErr w:type="spellStart"/>
      <w:r>
        <w:rPr>
          <w:rStyle w:val="groupwisereplyheader"/>
          <w:rFonts w:ascii="Helvetica" w:eastAsia="Times New Roman" w:hAnsi="Helvetica" w:cs="Times New Roman"/>
          <w:sz w:val="20"/>
          <w:szCs w:val="20"/>
        </w:rPr>
        <w:t>Frost</w:t>
      </w:r>
      <w:proofErr w:type="spellEnd"/>
      <w:r>
        <w:rPr>
          <w:rStyle w:val="groupwisereplyheader"/>
          <w:rFonts w:ascii="Helvetica" w:eastAsia="Times New Roman" w:hAnsi="Helvetica" w:cs="Times New Roman"/>
          <w:sz w:val="20"/>
          <w:szCs w:val="20"/>
        </w:rPr>
        <w:t xml:space="preserve"> &amp; </w:t>
      </w:r>
      <w:proofErr w:type="spellStart"/>
      <w:r>
        <w:rPr>
          <w:rStyle w:val="groupwisereplyheader"/>
          <w:rFonts w:ascii="Helvetica" w:eastAsia="Times New Roman" w:hAnsi="Helvetica" w:cs="Times New Roman"/>
          <w:sz w:val="20"/>
          <w:szCs w:val="20"/>
        </w:rPr>
        <w:t>Sulliven</w:t>
      </w:r>
      <w:proofErr w:type="spellEnd"/>
      <w:r>
        <w:rPr>
          <w:rStyle w:val="groupwisereplyheader"/>
          <w:rFonts w:ascii="Helvetica" w:eastAsia="Times New Roman" w:hAnsi="Helvetica" w:cs="Times New Roman"/>
          <w:sz w:val="20"/>
          <w:szCs w:val="20"/>
        </w:rPr>
        <w:t xml:space="preserve">. Také z: </w:t>
      </w:r>
      <w:hyperlink r:id="rId8" w:history="1">
        <w:r>
          <w:rPr>
            <w:rStyle w:val="Hypertextovodkaz"/>
          </w:rPr>
          <w:t>https://www.smart-systems-integration.org/public/news-events/news/eposs-roadmap-smart-systems-for-automated-driving-now-published</w:t>
        </w:r>
      </w:hyperlink>
      <w:r>
        <w:t xml:space="preserve"> </w:t>
      </w:r>
    </w:p>
    <w:p w:rsidR="009D0DFE" w:rsidRPr="009D0DFE" w:rsidRDefault="009D0DFE" w:rsidP="009D0DFE">
      <w:pPr>
        <w:spacing w:after="120"/>
        <w:jc w:val="both"/>
        <w:rPr>
          <w:rFonts w:cstheme="minorHAnsi"/>
          <w:sz w:val="24"/>
          <w:szCs w:val="24"/>
        </w:rPr>
      </w:pPr>
    </w:p>
    <w:sectPr w:rsidR="009D0DFE" w:rsidRPr="009D0DFE" w:rsidSect="00FA7EF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9EC" w:rsidRDefault="00EB59EC" w:rsidP="00974ED3">
      <w:pPr>
        <w:spacing w:after="0" w:line="240" w:lineRule="auto"/>
      </w:pPr>
      <w:r>
        <w:separator/>
      </w:r>
    </w:p>
  </w:endnote>
  <w:endnote w:type="continuationSeparator" w:id="0">
    <w:p w:rsidR="00EB59EC" w:rsidRDefault="00EB59EC" w:rsidP="00974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4308183"/>
      <w:docPartObj>
        <w:docPartGallery w:val="Page Numbers (Bottom of Page)"/>
        <w:docPartUnique/>
      </w:docPartObj>
    </w:sdtPr>
    <w:sdtEndPr/>
    <w:sdtContent>
      <w:p w:rsidR="00EE6EE4" w:rsidRDefault="00EE6EE4">
        <w:pPr>
          <w:pStyle w:val="Zpat"/>
          <w:jc w:val="center"/>
        </w:pPr>
        <w:r>
          <w:fldChar w:fldCharType="begin"/>
        </w:r>
        <w:r>
          <w:instrText>PAGE   \* MERGEFORMAT</w:instrText>
        </w:r>
        <w:r>
          <w:fldChar w:fldCharType="separate"/>
        </w:r>
        <w:r w:rsidR="008B33BB">
          <w:rPr>
            <w:noProof/>
          </w:rPr>
          <w:t>7</w:t>
        </w:r>
        <w:r>
          <w:fldChar w:fldCharType="end"/>
        </w:r>
      </w:p>
    </w:sdtContent>
  </w:sdt>
  <w:p w:rsidR="00974ED3" w:rsidRDefault="00974ED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9EC" w:rsidRDefault="00EB59EC" w:rsidP="00974ED3">
      <w:pPr>
        <w:spacing w:after="0" w:line="240" w:lineRule="auto"/>
      </w:pPr>
      <w:r>
        <w:separator/>
      </w:r>
    </w:p>
  </w:footnote>
  <w:footnote w:type="continuationSeparator" w:id="0">
    <w:p w:rsidR="00EB59EC" w:rsidRDefault="00EB59EC" w:rsidP="00974E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B7FFE"/>
    <w:multiLevelType w:val="hybridMultilevel"/>
    <w:tmpl w:val="6660D8AC"/>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9D534BF"/>
    <w:multiLevelType w:val="hybridMultilevel"/>
    <w:tmpl w:val="1C2E91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D4991"/>
    <w:rsid w:val="000E28B8"/>
    <w:rsid w:val="001A5871"/>
    <w:rsid w:val="001D4991"/>
    <w:rsid w:val="001F08D9"/>
    <w:rsid w:val="002F261B"/>
    <w:rsid w:val="00305E94"/>
    <w:rsid w:val="0036488D"/>
    <w:rsid w:val="0045053B"/>
    <w:rsid w:val="004B2164"/>
    <w:rsid w:val="006D0017"/>
    <w:rsid w:val="007210AC"/>
    <w:rsid w:val="008B33BB"/>
    <w:rsid w:val="00974ED3"/>
    <w:rsid w:val="009B214A"/>
    <w:rsid w:val="009D0DFE"/>
    <w:rsid w:val="00B01C1E"/>
    <w:rsid w:val="00B45AB4"/>
    <w:rsid w:val="00DC785C"/>
    <w:rsid w:val="00E119BA"/>
    <w:rsid w:val="00E95908"/>
    <w:rsid w:val="00EB59EC"/>
    <w:rsid w:val="00EE6EE4"/>
    <w:rsid w:val="00FA7E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FA7EF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959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95908"/>
    <w:rPr>
      <w:rFonts w:ascii="Tahoma" w:hAnsi="Tahoma" w:cs="Tahoma"/>
      <w:sz w:val="16"/>
      <w:szCs w:val="16"/>
    </w:rPr>
  </w:style>
  <w:style w:type="paragraph" w:styleId="Odstavecseseznamem">
    <w:name w:val="List Paragraph"/>
    <w:basedOn w:val="Normln"/>
    <w:uiPriority w:val="34"/>
    <w:qFormat/>
    <w:rsid w:val="007210AC"/>
    <w:pPr>
      <w:ind w:left="720"/>
      <w:contextualSpacing/>
    </w:pPr>
  </w:style>
  <w:style w:type="character" w:customStyle="1" w:styleId="groupwisereplyheader">
    <w:name w:val="groupwisereplyheader"/>
    <w:basedOn w:val="Standardnpsmoodstavce"/>
    <w:rsid w:val="009D0DFE"/>
  </w:style>
  <w:style w:type="character" w:styleId="Hypertextovodkaz">
    <w:name w:val="Hyperlink"/>
    <w:basedOn w:val="Standardnpsmoodstavce"/>
    <w:uiPriority w:val="99"/>
    <w:semiHidden/>
    <w:unhideWhenUsed/>
    <w:rsid w:val="009D0DFE"/>
    <w:rPr>
      <w:color w:val="0000FF"/>
      <w:u w:val="single"/>
    </w:rPr>
  </w:style>
  <w:style w:type="paragraph" w:styleId="Zhlav">
    <w:name w:val="header"/>
    <w:basedOn w:val="Normln"/>
    <w:link w:val="ZhlavChar"/>
    <w:uiPriority w:val="99"/>
    <w:unhideWhenUsed/>
    <w:rsid w:val="00974ED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74ED3"/>
  </w:style>
  <w:style w:type="paragraph" w:styleId="Zpat">
    <w:name w:val="footer"/>
    <w:basedOn w:val="Normln"/>
    <w:link w:val="ZpatChar"/>
    <w:uiPriority w:val="99"/>
    <w:unhideWhenUsed/>
    <w:rsid w:val="00974ED3"/>
    <w:pPr>
      <w:tabs>
        <w:tab w:val="center" w:pos="4536"/>
        <w:tab w:val="right" w:pos="9072"/>
      </w:tabs>
      <w:spacing w:after="0" w:line="240" w:lineRule="auto"/>
    </w:pPr>
  </w:style>
  <w:style w:type="character" w:customStyle="1" w:styleId="ZpatChar">
    <w:name w:val="Zápatí Char"/>
    <w:basedOn w:val="Standardnpsmoodstavce"/>
    <w:link w:val="Zpat"/>
    <w:uiPriority w:val="99"/>
    <w:rsid w:val="00974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035969">
      <w:bodyDiv w:val="1"/>
      <w:marLeft w:val="0"/>
      <w:marRight w:val="0"/>
      <w:marTop w:val="0"/>
      <w:marBottom w:val="0"/>
      <w:divBdr>
        <w:top w:val="none" w:sz="0" w:space="0" w:color="auto"/>
        <w:left w:val="none" w:sz="0" w:space="0" w:color="auto"/>
        <w:bottom w:val="none" w:sz="0" w:space="0" w:color="auto"/>
        <w:right w:val="none" w:sz="0" w:space="0" w:color="auto"/>
      </w:divBdr>
      <w:divsChild>
        <w:div w:id="1497451618">
          <w:marLeft w:val="0"/>
          <w:marRight w:val="0"/>
          <w:marTop w:val="0"/>
          <w:marBottom w:val="0"/>
          <w:divBdr>
            <w:top w:val="none" w:sz="0" w:space="0" w:color="auto"/>
            <w:left w:val="none" w:sz="0" w:space="0" w:color="auto"/>
            <w:bottom w:val="none" w:sz="0" w:space="0" w:color="auto"/>
            <w:right w:val="none" w:sz="0" w:space="0" w:color="auto"/>
          </w:divBdr>
          <w:divsChild>
            <w:div w:id="157812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8666">
      <w:bodyDiv w:val="1"/>
      <w:marLeft w:val="0"/>
      <w:marRight w:val="0"/>
      <w:marTop w:val="0"/>
      <w:marBottom w:val="0"/>
      <w:divBdr>
        <w:top w:val="none" w:sz="0" w:space="0" w:color="auto"/>
        <w:left w:val="none" w:sz="0" w:space="0" w:color="auto"/>
        <w:bottom w:val="none" w:sz="0" w:space="0" w:color="auto"/>
        <w:right w:val="none" w:sz="0" w:space="0" w:color="auto"/>
      </w:divBdr>
      <w:divsChild>
        <w:div w:id="725185377">
          <w:marLeft w:val="0"/>
          <w:marRight w:val="0"/>
          <w:marTop w:val="0"/>
          <w:marBottom w:val="0"/>
          <w:divBdr>
            <w:top w:val="none" w:sz="0" w:space="0" w:color="auto"/>
            <w:left w:val="none" w:sz="0" w:space="0" w:color="auto"/>
            <w:bottom w:val="none" w:sz="0" w:space="0" w:color="auto"/>
            <w:right w:val="none" w:sz="0" w:space="0" w:color="auto"/>
          </w:divBdr>
          <w:divsChild>
            <w:div w:id="121950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5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mart-systems-integration.org/public/news-events/news/eposs-roadmap-smart-systems-for-automated-driving-now-published"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2898</Words>
  <Characters>17102</Characters>
  <Application>Microsoft Office Word</Application>
  <DocSecurity>0</DocSecurity>
  <Lines>142</Lines>
  <Paragraphs>39</Paragraphs>
  <ScaleCrop>false</ScaleCrop>
  <Company/>
  <LinksUpToDate>false</LinksUpToDate>
  <CharactersWithSpaces>19961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2017-09-18T21:19:00Z</dcterms:created>
  <dcterms:modified xsi:type="dcterms:W3CDTF">2017-09-18T21:20:00Z</dcterms:modified>
</cp:coreProperties>
</file>